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sz w:val="48"/>
          <w:szCs w:val="48"/>
        </w:rPr>
      </w:pPr>
    </w:p>
    <w:p>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民国文献书库七氟丙烷气体充装</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w:t>
      </w:r>
      <w:r>
        <w:rPr>
          <w:rFonts w:hint="eastAsia" w:ascii="宋体" w:hAnsi="宋体" w:eastAsia="宋体" w:cs="Times New Roman"/>
          <w:b/>
          <w:color w:val="000000"/>
          <w:sz w:val="32"/>
          <w:szCs w:val="32"/>
        </w:rPr>
        <w:t>S</w:t>
      </w:r>
      <w:r>
        <w:rPr>
          <w:rFonts w:ascii="宋体" w:hAnsi="宋体" w:eastAsia="宋体" w:cs="Times New Roman"/>
          <w:b/>
          <w:color w:val="000000"/>
          <w:sz w:val="32"/>
          <w:szCs w:val="32"/>
        </w:rPr>
        <w:t>XTSG-ZB-202</w:t>
      </w:r>
      <w:r>
        <w:rPr>
          <w:rFonts w:hint="eastAsia" w:ascii="宋体" w:hAnsi="宋体" w:eastAsia="宋体" w:cs="Times New Roman"/>
          <w:b/>
          <w:color w:val="000000"/>
          <w:sz w:val="32"/>
          <w:szCs w:val="32"/>
          <w:lang w:val="en-US" w:eastAsia="zh-CN"/>
        </w:rPr>
        <w:t>3</w:t>
      </w:r>
      <w:r>
        <w:rPr>
          <w:rFonts w:ascii="宋体" w:hAnsi="宋体" w:eastAsia="宋体" w:cs="Times New Roman"/>
          <w:b/>
          <w:color w:val="000000"/>
          <w:sz w:val="32"/>
          <w:szCs w:val="32"/>
        </w:rPr>
        <w:t>-</w:t>
      </w:r>
      <w:r>
        <w:rPr>
          <w:rFonts w:hint="eastAsia" w:ascii="宋体" w:hAnsi="宋体" w:eastAsia="宋体" w:cs="Times New Roman"/>
          <w:b/>
          <w:color w:val="000000"/>
          <w:sz w:val="32"/>
          <w:szCs w:val="32"/>
          <w:lang w:val="en-US" w:eastAsia="zh-CN"/>
        </w:rPr>
        <w:t>0</w:t>
      </w:r>
      <w:r>
        <w:rPr>
          <w:rFonts w:hint="eastAsia" w:ascii="宋体" w:hAnsi="宋体" w:cs="Times New Roman"/>
          <w:b/>
          <w:color w:val="000000"/>
          <w:sz w:val="32"/>
          <w:szCs w:val="32"/>
          <w:lang w:val="en-US" w:eastAsia="zh-CN"/>
        </w:rPr>
        <w:t>3</w:t>
      </w:r>
    </w:p>
    <w:p>
      <w:pPr>
        <w:pStyle w:val="2"/>
        <w:rPr>
          <w:rFonts w:hint="eastAsia"/>
        </w:rPr>
      </w:pP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jc w:val="lef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绍兴图书馆</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 xml:space="preserve">三 </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八 </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NumType w:fmt="decimal"/>
          <w:cols w:space="720" w:num="1"/>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sz w:val="24"/>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民国文献书库七氟丙烷气体充装 </w:t>
      </w:r>
      <w:r>
        <w:rPr>
          <w:rFonts w:hint="eastAsia" w:ascii="仿宋" w:hAnsi="仿宋" w:eastAsia="仿宋" w:cs="仿宋"/>
          <w:color w:val="auto"/>
          <w:sz w:val="24"/>
        </w:rPr>
        <w:t>招标项目的潜在投标人</w:t>
      </w:r>
      <w:r>
        <w:rPr>
          <w:rFonts w:hint="eastAsia" w:ascii="仿宋" w:hAnsi="仿宋" w:eastAsia="仿宋" w:cs="仿宋"/>
          <w:color w:val="auto"/>
          <w:sz w:val="24"/>
          <w:lang w:eastAsia="zh-CN"/>
        </w:rPr>
        <w:t>可</w:t>
      </w:r>
      <w:r>
        <w:rPr>
          <w:rFonts w:hint="eastAsia" w:ascii="仿宋" w:hAnsi="仿宋" w:eastAsia="仿宋" w:cs="仿宋"/>
          <w:color w:val="auto"/>
          <w:sz w:val="24"/>
        </w:rPr>
        <w:t>在</w:t>
      </w:r>
      <w:r>
        <w:rPr>
          <w:rFonts w:hint="eastAsia" w:ascii="仿宋" w:hAnsi="仿宋" w:eastAsia="仿宋" w:cs="仿宋"/>
          <w:i w:val="0"/>
          <w:iCs w:val="0"/>
          <w:color w:val="auto"/>
          <w:sz w:val="24"/>
          <w:lang w:eastAsia="zh-CN"/>
        </w:rPr>
        <w:t>绍兴图书馆网站</w:t>
      </w:r>
      <w:r>
        <w:rPr>
          <w:rFonts w:hint="eastAsia" w:ascii="仿宋" w:hAnsi="仿宋" w:eastAsia="仿宋" w:cs="仿宋"/>
          <w:i w:val="0"/>
          <w:iCs w:val="0"/>
          <w:color w:val="auto"/>
          <w:sz w:val="24"/>
        </w:rPr>
        <w:t>（</w:t>
      </w:r>
      <w:r>
        <w:rPr>
          <w:rFonts w:hint="eastAsia" w:ascii="仿宋" w:hAnsi="仿宋" w:eastAsia="仿宋" w:cs="仿宋"/>
          <w:i w:val="0"/>
          <w:iCs w:val="0"/>
          <w:snapToGrid/>
          <w:color w:val="auto"/>
          <w:kern w:val="2"/>
          <w:sz w:val="24"/>
          <w:szCs w:val="24"/>
          <w:u w:val="none"/>
        </w:rPr>
        <w:t>www.</w:t>
      </w:r>
      <w:r>
        <w:rPr>
          <w:rFonts w:hint="eastAsia" w:ascii="仿宋" w:hAnsi="仿宋" w:eastAsia="仿宋" w:cs="仿宋"/>
          <w:i w:val="0"/>
          <w:iCs w:val="0"/>
          <w:snapToGrid/>
          <w:color w:val="auto"/>
          <w:kern w:val="2"/>
          <w:sz w:val="24"/>
          <w:szCs w:val="24"/>
          <w:u w:val="none"/>
          <w:lang w:val="en-US" w:eastAsia="zh-CN"/>
        </w:rPr>
        <w:t>sxlib.com</w:t>
      </w:r>
      <w:r>
        <w:rPr>
          <w:rFonts w:hint="eastAsia" w:ascii="仿宋" w:hAnsi="仿宋" w:eastAsia="仿宋" w:cs="仿宋"/>
          <w:i w:val="0"/>
          <w:iCs w:val="0"/>
          <w:snapToGrid/>
          <w:color w:val="auto"/>
          <w:kern w:val="2"/>
          <w:sz w:val="24"/>
          <w:szCs w:val="24"/>
          <w:u w:val="none"/>
        </w:rPr>
        <w:t>）获取（下载）招标文件</w:t>
      </w:r>
      <w:r>
        <w:rPr>
          <w:rFonts w:hint="eastAsia" w:ascii="仿宋" w:hAnsi="仿宋" w:eastAsia="仿宋" w:cs="仿宋"/>
          <w:i w:val="0"/>
          <w:iCs w:val="0"/>
          <w:snapToGrid/>
          <w:color w:val="auto"/>
          <w:kern w:val="2"/>
          <w:sz w:val="24"/>
          <w:szCs w:val="24"/>
          <w:u w:val="none"/>
          <w:lang w:eastAsia="zh-CN"/>
        </w:rPr>
        <w:t>。将</w:t>
      </w:r>
      <w:r>
        <w:rPr>
          <w:rFonts w:hint="eastAsia" w:ascii="仿宋" w:hAnsi="仿宋" w:eastAsia="仿宋" w:cs="仿宋"/>
          <w:color w:val="auto"/>
          <w:sz w:val="24"/>
        </w:rPr>
        <w:t>报名资料</w:t>
      </w:r>
      <w:r>
        <w:rPr>
          <w:rFonts w:hint="eastAsia" w:ascii="仿宋" w:hAnsi="仿宋" w:eastAsia="仿宋" w:cs="仿宋"/>
          <w:color w:val="auto"/>
          <w:sz w:val="24"/>
          <w:lang w:eastAsia="zh-CN"/>
        </w:rPr>
        <w:t>“</w:t>
      </w:r>
      <w:r>
        <w:rPr>
          <w:rFonts w:hint="eastAsia" w:ascii="仿宋" w:hAnsi="仿宋" w:eastAsia="仿宋" w:cs="仿宋"/>
          <w:color w:val="auto"/>
          <w:sz w:val="24"/>
        </w:rPr>
        <w:t>（1）授权委托书（2）企业营业执照（3）报名者身份证及联系电话</w:t>
      </w:r>
      <w:r>
        <w:rPr>
          <w:rFonts w:hint="eastAsia" w:ascii="仿宋" w:hAnsi="仿宋" w:eastAsia="仿宋" w:cs="仿宋"/>
          <w:color w:val="auto"/>
          <w:sz w:val="24"/>
          <w:lang w:eastAsia="zh-CN"/>
        </w:rPr>
        <w:t>”</w:t>
      </w:r>
      <w:r>
        <w:rPr>
          <w:rFonts w:hint="eastAsia" w:ascii="仿宋" w:hAnsi="仿宋" w:eastAsia="仿宋" w:cs="仿宋"/>
          <w:color w:val="auto"/>
          <w:sz w:val="24"/>
        </w:rPr>
        <w:t>加盖公章后扫描件发送至邮箱：</w:t>
      </w:r>
      <w:r>
        <w:rPr>
          <w:rFonts w:hint="eastAsia" w:ascii="仿宋" w:hAnsi="仿宋" w:eastAsia="仿宋" w:cs="仿宋"/>
          <w:color w:val="auto"/>
          <w:sz w:val="24"/>
          <w:lang w:val="en-US" w:eastAsia="zh-CN"/>
        </w:rPr>
        <w:t>10517691</w:t>
      </w:r>
      <w:r>
        <w:rPr>
          <w:rFonts w:hint="eastAsia" w:ascii="仿宋" w:hAnsi="仿宋" w:eastAsia="仿宋" w:cs="仿宋"/>
          <w:color w:val="auto"/>
          <w:sz w:val="24"/>
        </w:rPr>
        <w:t>@qq.com</w:t>
      </w:r>
      <w:r>
        <w:rPr>
          <w:rFonts w:hint="eastAsia" w:ascii="仿宋" w:hAnsi="仿宋" w:eastAsia="仿宋" w:cs="仿宋"/>
          <w:color w:val="auto"/>
          <w:sz w:val="24"/>
          <w:lang w:eastAsia="zh-CN"/>
        </w:rPr>
        <w:t>进行报名。并</w:t>
      </w:r>
      <w:r>
        <w:rPr>
          <w:rFonts w:hint="eastAsia" w:ascii="仿宋" w:hAnsi="仿宋" w:eastAsia="仿宋" w:cs="仿宋"/>
          <w:i w:val="0"/>
          <w:iCs w:val="0"/>
          <w:snapToGrid/>
          <w:color w:val="auto"/>
          <w:kern w:val="2"/>
          <w:sz w:val="24"/>
          <w:szCs w:val="24"/>
          <w:u w:val="none"/>
        </w:rPr>
        <w:t>于202</w:t>
      </w:r>
      <w:r>
        <w:rPr>
          <w:rFonts w:hint="eastAsia" w:ascii="仿宋" w:hAnsi="仿宋" w:eastAsia="仿宋" w:cs="仿宋"/>
          <w:i w:val="0"/>
          <w:iCs w:val="0"/>
          <w:snapToGrid/>
          <w:color w:val="auto"/>
          <w:kern w:val="2"/>
          <w:sz w:val="24"/>
          <w:szCs w:val="24"/>
          <w:u w:val="none"/>
          <w:lang w:val="en-US" w:eastAsia="zh-CN"/>
        </w:rPr>
        <w:t>3</w:t>
      </w:r>
      <w:r>
        <w:rPr>
          <w:rFonts w:hint="eastAsia" w:ascii="仿宋" w:hAnsi="仿宋" w:eastAsia="仿宋" w:cs="仿宋"/>
          <w:i w:val="0"/>
          <w:iCs w:val="0"/>
          <w:snapToGrid/>
          <w:color w:val="auto"/>
          <w:kern w:val="2"/>
          <w:sz w:val="24"/>
          <w:szCs w:val="24"/>
          <w:u w:val="none"/>
        </w:rPr>
        <w:t>年</w:t>
      </w:r>
      <w:r>
        <w:rPr>
          <w:rFonts w:hint="eastAsia" w:ascii="仿宋" w:hAnsi="仿宋" w:eastAsia="仿宋" w:cs="仿宋"/>
          <w:i w:val="0"/>
          <w:iCs w:val="0"/>
          <w:snapToGrid/>
          <w:color w:val="auto"/>
          <w:kern w:val="2"/>
          <w:sz w:val="24"/>
          <w:szCs w:val="24"/>
          <w:u w:val="none"/>
          <w:lang w:val="en-US" w:eastAsia="zh-CN"/>
        </w:rPr>
        <w:t>8</w:t>
      </w:r>
      <w:r>
        <w:rPr>
          <w:rFonts w:hint="eastAsia" w:ascii="仿宋" w:hAnsi="仿宋" w:eastAsia="仿宋" w:cs="仿宋"/>
          <w:i w:val="0"/>
          <w:iCs w:val="0"/>
          <w:snapToGrid/>
          <w:color w:val="auto"/>
          <w:kern w:val="2"/>
          <w:sz w:val="24"/>
          <w:szCs w:val="24"/>
          <w:u w:val="none"/>
        </w:rPr>
        <w:t>月</w:t>
      </w:r>
      <w:r>
        <w:rPr>
          <w:rFonts w:hint="eastAsia" w:ascii="仿宋" w:hAnsi="仿宋" w:eastAsia="仿宋" w:cs="仿宋"/>
          <w:i w:val="0"/>
          <w:iCs w:val="0"/>
          <w:snapToGrid/>
          <w:color w:val="auto"/>
          <w:kern w:val="2"/>
          <w:sz w:val="24"/>
          <w:szCs w:val="24"/>
          <w:u w:val="none"/>
          <w:lang w:val="en-US" w:eastAsia="zh-CN"/>
        </w:rPr>
        <w:t>18</w:t>
      </w:r>
      <w:r>
        <w:rPr>
          <w:rFonts w:hint="eastAsia" w:ascii="仿宋" w:hAnsi="仿宋" w:eastAsia="仿宋" w:cs="仿宋"/>
          <w:i w:val="0"/>
          <w:iCs w:val="0"/>
          <w:snapToGrid/>
          <w:color w:val="auto"/>
          <w:kern w:val="2"/>
          <w:sz w:val="24"/>
          <w:szCs w:val="24"/>
          <w:u w:val="none"/>
        </w:rPr>
        <w:t>日</w:t>
      </w:r>
      <w:r>
        <w:rPr>
          <w:rFonts w:hint="eastAsia" w:ascii="仿宋" w:hAnsi="仿宋" w:eastAsia="仿宋" w:cs="仿宋"/>
          <w:i w:val="0"/>
          <w:iCs w:val="0"/>
          <w:snapToGrid/>
          <w:color w:val="auto"/>
          <w:kern w:val="2"/>
          <w:sz w:val="24"/>
          <w:szCs w:val="24"/>
          <w:u w:val="none"/>
          <w:lang w:val="en-US" w:eastAsia="zh-CN"/>
        </w:rPr>
        <w:t>14</w:t>
      </w:r>
      <w:r>
        <w:rPr>
          <w:rFonts w:hint="eastAsia" w:ascii="仿宋" w:hAnsi="仿宋" w:eastAsia="仿宋" w:cs="仿宋"/>
          <w:i w:val="0"/>
          <w:iCs w:val="0"/>
          <w:snapToGrid/>
          <w:color w:val="auto"/>
          <w:kern w:val="2"/>
          <w:sz w:val="24"/>
          <w:szCs w:val="24"/>
          <w:u w:val="none"/>
        </w:rPr>
        <w:t>点</w:t>
      </w:r>
      <w:r>
        <w:rPr>
          <w:rFonts w:hint="eastAsia" w:ascii="仿宋" w:hAnsi="仿宋" w:eastAsia="仿宋" w:cs="仿宋"/>
          <w:i w:val="0"/>
          <w:iCs w:val="0"/>
          <w:snapToGrid/>
          <w:color w:val="auto"/>
          <w:kern w:val="2"/>
          <w:sz w:val="24"/>
          <w:szCs w:val="24"/>
          <w:u w:val="none"/>
          <w:lang w:val="en-US" w:eastAsia="zh-CN"/>
        </w:rPr>
        <w:t>00</w:t>
      </w:r>
      <w:r>
        <w:rPr>
          <w:rFonts w:hint="eastAsia" w:ascii="仿宋" w:hAnsi="仿宋" w:eastAsia="仿宋" w:cs="仿宋"/>
          <w:i w:val="0"/>
          <w:iCs w:val="0"/>
          <w:snapToGrid/>
          <w:color w:val="auto"/>
          <w:kern w:val="2"/>
          <w:sz w:val="24"/>
          <w:szCs w:val="24"/>
          <w:u w:val="none"/>
        </w:rPr>
        <w:t>分</w:t>
      </w:r>
      <w:r>
        <w:rPr>
          <w:rFonts w:hint="eastAsia" w:ascii="仿宋" w:hAnsi="仿宋" w:eastAsia="仿宋" w:cs="仿宋"/>
          <w:bCs/>
          <w:i w:val="0"/>
          <w:iCs w:val="0"/>
          <w:snapToGrid/>
          <w:color w:val="auto"/>
          <w:kern w:val="2"/>
          <w:sz w:val="24"/>
          <w:szCs w:val="24"/>
          <w:u w:val="none"/>
        </w:rPr>
        <w:t>00秒</w:t>
      </w:r>
      <w:r>
        <w:rPr>
          <w:rFonts w:hint="eastAsia" w:ascii="仿宋" w:hAnsi="仿宋" w:eastAsia="仿宋" w:cs="仿宋"/>
          <w:bCs/>
          <w:color w:val="auto"/>
          <w:sz w:val="24"/>
        </w:rPr>
        <w:t>（北京时间）前</w:t>
      </w:r>
      <w:r>
        <w:rPr>
          <w:rFonts w:hint="eastAsia" w:ascii="仿宋" w:hAnsi="仿宋" w:eastAsia="仿宋" w:cs="仿宋"/>
          <w:color w:val="auto"/>
          <w:sz w:val="24"/>
        </w:rPr>
        <w:t>递交投标文件。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SXTSG-ZB-2023-03</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u w:val="none"/>
          <w:lang w:val="en-US" w:eastAsia="zh-CN"/>
        </w:rPr>
        <w:t>民国文献书库七氟丙烷气体充装</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99000</w:t>
      </w:r>
      <w:r>
        <w:rPr>
          <w:rFonts w:hint="eastAsia" w:ascii="仿宋" w:hAnsi="仿宋" w:eastAsia="仿宋" w:cs="仿宋"/>
          <w:b w:val="0"/>
          <w:bCs/>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99000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u w:val="none"/>
          <w:lang w:val="en-US" w:eastAsia="zh-CN"/>
        </w:rPr>
        <w:t>民国文献书库七氟丙烷气体充装</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预算金额：99000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lang w:eastAsia="zh-CN"/>
        </w:rPr>
      </w:pPr>
      <w:r>
        <w:rPr>
          <w:rFonts w:hint="eastAsia" w:ascii="仿宋" w:hAnsi="仿宋" w:eastAsia="仿宋" w:cs="仿宋"/>
          <w:bCs/>
          <w:color w:val="auto"/>
          <w:sz w:val="24"/>
        </w:rPr>
        <w:t>主要内容：</w:t>
      </w:r>
      <w:r>
        <w:rPr>
          <w:rFonts w:hint="eastAsia" w:ascii="仿宋" w:hAnsi="仿宋" w:eastAsia="仿宋" w:cs="仿宋"/>
          <w:color w:val="auto"/>
          <w:sz w:val="24"/>
          <w:u w:val="none"/>
          <w:lang w:val="en-US" w:eastAsia="zh-CN"/>
        </w:rPr>
        <w:t>民国文献书库七氟丙烷气体充装</w:t>
      </w:r>
      <w:r>
        <w:rPr>
          <w:rFonts w:hint="eastAsia" w:ascii="仿宋" w:hAnsi="仿宋" w:eastAsia="仿宋" w:cs="仿宋"/>
          <w:bCs/>
          <w:color w:val="auto"/>
          <w:sz w:val="24"/>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kern w:val="0"/>
          <w:sz w:val="24"/>
          <w:lang w:eastAsia="zh-CN"/>
        </w:rPr>
        <w:t>☑</w:t>
      </w:r>
      <w:r>
        <w:rPr>
          <w:rFonts w:hint="eastAsia" w:ascii="仿宋" w:hAnsi="仿宋" w:eastAsia="仿宋" w:cs="仿宋"/>
          <w:b/>
          <w:color w:val="auto"/>
          <w:sz w:val="24"/>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ascii="宋体" w:hAnsi="宋体" w:cs="宋体"/>
          <w:b/>
          <w:bCs/>
          <w:color w:val="auto"/>
          <w:kern w:val="0"/>
          <w:sz w:val="24"/>
        </w:rPr>
        <w:t>投标单位必须取得消防设施工程专业承包一级资质</w:t>
      </w:r>
      <w:r>
        <w:rPr>
          <w:rFonts w:hint="eastAsia" w:ascii="宋体" w:hAnsi="宋体" w:cs="宋体"/>
          <w:b/>
          <w:bCs/>
          <w:color w:val="auto"/>
          <w:kern w:val="0"/>
          <w:sz w:val="24"/>
        </w:rPr>
        <w:t>及以上资质</w:t>
      </w:r>
      <w:r>
        <w:rPr>
          <w:rFonts w:hint="eastAsia" w:ascii="仿宋" w:hAnsi="仿宋" w:eastAsia="仿宋" w:cs="仿宋"/>
          <w:b/>
          <w:bCs/>
          <w:color w:val="auto"/>
          <w:sz w:val="24"/>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u w:val="none"/>
          <w:lang w:eastAsia="zh-CN"/>
        </w:rPr>
      </w:pPr>
      <w:r>
        <w:rPr>
          <w:rFonts w:hint="eastAsia" w:ascii="仿宋" w:hAnsi="仿宋" w:eastAsia="仿宋" w:cs="仿宋"/>
          <w:b/>
          <w:color w:val="auto"/>
          <w:sz w:val="24"/>
        </w:rPr>
        <w:t>时间：</w:t>
      </w:r>
      <w:r>
        <w:rPr>
          <w:rFonts w:hint="eastAsia" w:ascii="仿宋" w:hAnsi="仿宋" w:eastAsia="仿宋" w:cs="仿宋"/>
          <w:b w:val="0"/>
          <w:bCs/>
          <w:color w:val="auto"/>
          <w:sz w:val="24"/>
          <w:u w:val="none"/>
          <w:lang w:eastAsia="zh-CN"/>
        </w:rPr>
        <w:t>即日起，</w:t>
      </w:r>
      <w:r>
        <w:rPr>
          <w:rFonts w:hint="eastAsia" w:ascii="仿宋" w:hAnsi="仿宋" w:eastAsia="仿宋" w:cs="仿宋"/>
          <w:b w:val="0"/>
          <w:bCs/>
          <w:color w:val="auto"/>
          <w:sz w:val="24"/>
          <w:u w:val="none"/>
        </w:rPr>
        <w:t>至</w:t>
      </w:r>
      <w:r>
        <w:rPr>
          <w:rFonts w:hint="eastAsia" w:ascii="仿宋" w:hAnsi="仿宋" w:eastAsia="仿宋" w:cs="仿宋"/>
          <w:b w:val="0"/>
          <w:bCs/>
          <w:color w:val="auto"/>
          <w:sz w:val="24"/>
          <w:u w:val="none"/>
          <w:lang w:eastAsia="zh-CN"/>
        </w:rPr>
        <w:t>开标前。</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lang w:eastAsia="zh-CN"/>
        </w:rPr>
        <w:t>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方式：</w:t>
      </w:r>
      <w:r>
        <w:rPr>
          <w:rFonts w:hint="eastAsia" w:ascii="仿宋" w:hAnsi="仿宋" w:eastAsia="仿宋" w:cs="仿宋"/>
          <w:color w:val="auto"/>
          <w:sz w:val="24"/>
        </w:rPr>
        <w:t>供应商</w:t>
      </w:r>
      <w:r>
        <w:rPr>
          <w:rFonts w:hint="eastAsia" w:ascii="仿宋" w:hAnsi="仿宋" w:eastAsia="仿宋" w:cs="仿宋"/>
          <w:color w:val="auto"/>
          <w:sz w:val="24"/>
          <w:lang w:eastAsia="zh-CN"/>
        </w:rPr>
        <w:t>打开绍兴图书馆网站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sxlib.com，在“资讯信息”——&gt;“招标信息”栏目相应的招标公告附件中自行下载。</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lang w:eastAsia="zh-CN"/>
        </w:rPr>
        <w:t>四、报名、</w:t>
      </w:r>
      <w:r>
        <w:rPr>
          <w:rFonts w:hint="eastAsia" w:ascii="仿宋" w:hAnsi="仿宋" w:eastAsia="仿宋" w:cs="仿宋"/>
          <w:b/>
          <w:color w:val="auto"/>
          <w:sz w:val="24"/>
        </w:rPr>
        <w:t>提交投标文件截止时间、开标时间和地点</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　　报名：供应商将报名资料“（1）授权委托书（2）企业营业执照（3）报名者身份证及联系电话”加盖公章后扫描件发送至邮箱：10517691@qq.com进行报名。</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提交投标文件截止时间： 202</w:t>
      </w:r>
      <w:r>
        <w:rPr>
          <w:rFonts w:hint="eastAsia" w:ascii="仿宋" w:hAnsi="仿宋" w:eastAsia="仿宋" w:cs="仿宋"/>
          <w:b/>
          <w:color w:val="auto"/>
          <w:sz w:val="24"/>
          <w:lang w:val="en-US" w:eastAsia="zh-CN"/>
        </w:rPr>
        <w:t>3</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8</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18</w:t>
      </w:r>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分00秒 （北京时间）</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xml:space="preserve">　　投标地点：供应商需在开标前，将投标文件送（寄）至绍兴市越城区洋江西路530号绍兴图书馆415室，收件人：项元峰，15257500800。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开标时间：202</w:t>
      </w:r>
      <w:r>
        <w:rPr>
          <w:rFonts w:hint="eastAsia" w:ascii="仿宋" w:hAnsi="仿宋" w:eastAsia="仿宋" w:cs="仿宋"/>
          <w:b/>
          <w:color w:val="auto"/>
          <w:sz w:val="24"/>
          <w:lang w:val="en-US" w:eastAsia="zh-CN"/>
        </w:rPr>
        <w:t>3</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8</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18</w:t>
      </w:r>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 xml:space="preserve">分00秒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开标地点：绍兴市越城区洋江西路530号绍兴图书馆4楼404会议室</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numPr>
          <w:ilvl w:val="0"/>
          <w:numId w:val="1"/>
        </w:numPr>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其他补充事宜</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1.</w:t>
      </w:r>
      <w:r>
        <w:rPr>
          <w:rFonts w:hint="eastAsia" w:ascii="仿宋" w:hAnsi="仿宋" w:eastAsia="仿宋" w:cs="仿宋"/>
          <w:color w:val="auto"/>
          <w:spacing w:val="8"/>
          <w:kern w:val="0"/>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pacing w:val="8"/>
          <w:kern w:val="0"/>
          <w:sz w:val="24"/>
          <w:lang w:val="en"/>
        </w:rPr>
        <w:t>(</w:t>
      </w:r>
      <w:r>
        <w:rPr>
          <w:rFonts w:hint="eastAsia" w:ascii="仿宋" w:hAnsi="仿宋" w:eastAsia="仿宋" w:cs="仿宋"/>
          <w:color w:val="auto"/>
          <w:spacing w:val="8"/>
          <w:kern w:val="0"/>
          <w:sz w:val="24"/>
          <w:lang w:val="en" w:eastAsia="zh-CN"/>
        </w:rPr>
        <w:t>政策落实根据财政部门要求更新）</w:t>
      </w:r>
      <w:r>
        <w:rPr>
          <w:rFonts w:hint="eastAsia" w:ascii="仿宋" w:hAnsi="仿宋" w:eastAsia="仿宋" w:cs="仿宋"/>
          <w:color w:val="auto"/>
          <w:spacing w:val="8"/>
          <w:kern w:val="0"/>
          <w:sz w:val="24"/>
        </w:rPr>
        <w:t>。</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2.</w:t>
      </w:r>
      <w:r>
        <w:rPr>
          <w:rFonts w:hint="eastAsia" w:ascii="仿宋" w:hAnsi="仿宋" w:eastAsia="仿宋" w:cs="仿宋"/>
          <w:color w:val="auto"/>
          <w:spacing w:val="8"/>
          <w:kern w:val="0"/>
          <w:sz w:val="24"/>
        </w:rPr>
        <w:t>其他事项：（1）需要落实的政府采购政策：包括节约资源、保护环境、支持创新、促进中小企业发展等。详见招标文件的第二部分总则。（2）招标文件公告期限与招标公告的公告期限一致。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绍兴图书馆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绍兴市越城区洋江西路530号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36"/>
          <w:szCs w:val="20"/>
        </w:rPr>
      </w:pPr>
      <w:bookmarkStart w:id="151" w:name="_GoBack"/>
      <w:bookmarkEnd w:id="151"/>
      <w:r>
        <w:rPr>
          <w:rFonts w:hint="eastAsia" w:ascii="仿宋" w:hAnsi="仿宋" w:eastAsia="仿宋" w:cs="仿宋"/>
          <w:color w:val="auto"/>
          <w:sz w:val="24"/>
        </w:rPr>
        <w:t>联系人：</w:t>
      </w:r>
      <w:r>
        <w:rPr>
          <w:rFonts w:hint="eastAsia" w:ascii="仿宋" w:hAnsi="仿宋" w:eastAsia="仿宋" w:cs="仿宋"/>
          <w:color w:val="auto"/>
          <w:sz w:val="24"/>
          <w:lang w:eastAsia="zh-CN"/>
        </w:rPr>
        <w:t>项元峰</w:t>
      </w:r>
      <w:r>
        <w:rPr>
          <w:rFonts w:hint="eastAsia" w:ascii="仿宋" w:hAnsi="仿宋" w:eastAsia="仿宋" w:cs="仿宋"/>
          <w:color w:val="auto"/>
          <w:sz w:val="24"/>
          <w:lang w:val="en-US" w:eastAsia="zh-CN"/>
        </w:rPr>
        <w:t xml:space="preserve">  15257500800、徐国洪  15857545228</w:t>
      </w: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lang w:eastAsia="zh-CN"/>
              </w:rPr>
            </w:pPr>
            <w:r>
              <w:rPr>
                <w:rFonts w:hint="eastAsia" w:ascii="仿宋" w:hAnsi="仿宋" w:eastAsia="仿宋" w:cs="仿宋"/>
                <w:b/>
                <w:sz w:val="24"/>
              </w:rPr>
              <w:t>投标文件份数：</w:t>
            </w:r>
            <w:r>
              <w:rPr>
                <w:rFonts w:hint="eastAsia" w:ascii="仿宋" w:hAnsi="仿宋" w:eastAsia="仿宋" w:cs="仿宋"/>
                <w:sz w:val="24"/>
                <w:lang w:eastAsia="zh-CN"/>
              </w:rPr>
              <w:t>五份（一正四副）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5" w:name="_Toc164416483"/>
      <w:bookmarkStart w:id="6"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 xml:space="preserve"> “监督单位”系指政府采购法定义监督管理部门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 xml:space="preserve"> “公章”系指单位法定名称章。因特殊原因需要使用冠以法定名称的业务专用章的，投标时须提供《业务专用章使用说明函》（附件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lang w:eastAsia="zh-CN"/>
        </w:rPr>
        <w:t>　　</w:t>
      </w: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　　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lang w:eastAsia="zh-CN"/>
        </w:rPr>
        <w:t>　　</w:t>
      </w: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3.4支持科技创新创新发展</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3.5平等对待内外资企业和符合条件的破产重整企业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rPr>
      </w:pPr>
      <w:r>
        <w:rPr>
          <w:rFonts w:hint="eastAsia" w:ascii="仿宋_GB2312" w:hAnsi="仿宋" w:eastAsia="仿宋_GB2312"/>
          <w:sz w:val="24"/>
          <w:lang w:eastAsia="zh-CN"/>
        </w:rPr>
        <w:t>　　</w:t>
      </w: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w:t>
      </w:r>
      <w:r>
        <w:rPr>
          <w:rFonts w:hint="eastAsia" w:ascii="仿宋" w:hAnsi="仿宋" w:eastAsia="仿宋" w:cs="仿宋"/>
          <w:sz w:val="24"/>
          <w:lang w:eastAsia="zh-CN"/>
        </w:rPr>
        <w:t>按《</w:t>
      </w:r>
      <w:r>
        <w:rPr>
          <w:rFonts w:hint="eastAsia" w:ascii="仿宋" w:hAnsi="仿宋" w:eastAsia="仿宋" w:cs="仿宋"/>
          <w:sz w:val="24"/>
        </w:rPr>
        <w:fldChar w:fldCharType="begin"/>
      </w:r>
      <w:r>
        <w:rPr>
          <w:rFonts w:hint="eastAsia" w:ascii="仿宋" w:hAnsi="仿宋" w:eastAsia="仿宋" w:cs="仿宋"/>
          <w:sz w:val="24"/>
        </w:rPr>
        <w:instrText xml:space="preserve"> HYPERLINK "https://oa.sxlib.com/general/file_folder/read.php?SORT_ID=2441&amp;FILE_SORT=1&amp;CONTENT_ID=8257&amp;start=0" </w:instrText>
      </w:r>
      <w:r>
        <w:rPr>
          <w:rFonts w:hint="eastAsia" w:ascii="仿宋" w:hAnsi="仿宋" w:eastAsia="仿宋" w:cs="仿宋"/>
          <w:sz w:val="24"/>
        </w:rPr>
        <w:fldChar w:fldCharType="separate"/>
      </w:r>
      <w:r>
        <w:rPr>
          <w:rFonts w:hint="eastAsia" w:ascii="仿宋" w:hAnsi="仿宋" w:eastAsia="仿宋" w:cs="仿宋"/>
          <w:sz w:val="24"/>
        </w:rPr>
        <w:t>绍兴图书馆小型采购项目招投标管理办法</w:t>
      </w:r>
      <w:r>
        <w:rPr>
          <w:rFonts w:hint="eastAsia" w:ascii="仿宋" w:hAnsi="仿宋" w:eastAsia="仿宋" w:cs="仿宋"/>
          <w:sz w:val="24"/>
        </w:rPr>
        <w:fldChar w:fldCharType="end"/>
      </w:r>
      <w:r>
        <w:rPr>
          <w:rFonts w:hint="eastAsia" w:ascii="仿宋" w:hAnsi="仿宋" w:eastAsia="仿宋" w:cs="仿宋"/>
          <w:sz w:val="24"/>
          <w:lang w:eastAsia="zh-CN"/>
        </w:rPr>
        <w:t>》</w:t>
      </w:r>
      <w:r>
        <w:rPr>
          <w:rFonts w:hint="eastAsia" w:ascii="仿宋" w:hAnsi="仿宋" w:eastAsia="仿宋" w:cs="仿宋"/>
          <w:sz w:val="24"/>
        </w:rPr>
        <w:t>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7"/>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sz w:val="24"/>
        </w:rPr>
      </w:pPr>
      <w:r>
        <w:rPr>
          <w:rFonts w:hint="eastAsia" w:ascii="仿宋" w:hAnsi="仿宋" w:eastAsia="仿宋" w:cs="仿宋"/>
          <w:b w:val="0"/>
          <w:bCs/>
          <w:sz w:val="24"/>
        </w:rPr>
        <w:t>1.5投标文件为</w:t>
      </w:r>
      <w:r>
        <w:rPr>
          <w:rFonts w:hint="eastAsia" w:ascii="仿宋" w:hAnsi="仿宋" w:eastAsia="仿宋" w:cs="仿宋"/>
          <w:b w:val="0"/>
          <w:bCs/>
          <w:sz w:val="24"/>
          <w:lang w:eastAsia="zh-CN"/>
        </w:rPr>
        <w:t>纸质</w:t>
      </w:r>
      <w:r>
        <w:rPr>
          <w:rFonts w:hint="eastAsia" w:ascii="仿宋" w:hAnsi="仿宋" w:eastAsia="仿宋" w:cs="仿宋"/>
          <w:b w:val="0"/>
          <w:bCs/>
          <w:sz w:val="24"/>
        </w:rPr>
        <w:t>投标文件，按本招标文件要求制作。</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w:t>
      </w:r>
      <w:r>
        <w:rPr>
          <w:rFonts w:hint="eastAsia" w:ascii="仿宋" w:hAnsi="仿宋" w:eastAsia="仿宋" w:cs="仿宋"/>
          <w:b w:val="0"/>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.2投标文件按照招标文件第六部分格式要求进行签署、盖章。投标人的投标文件未按照招标文件要求签署、盖章的，其投标无效。</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供应商应当在投标截止时间前完成投标文件的递交，并可以补充、修改或者撤回投标文件。</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.3在原定投标有效期满之前，如果出现特殊情况，采购</w:t>
      </w:r>
      <w:r>
        <w:rPr>
          <w:rFonts w:hint="eastAsia" w:ascii="仿宋" w:hAnsi="仿宋" w:eastAsia="仿宋" w:cs="仿宋"/>
          <w:sz w:val="24"/>
          <w:lang w:val="en-US" w:eastAsia="zh-CN"/>
        </w:rPr>
        <w:t>人</w:t>
      </w:r>
      <w:r>
        <w:rPr>
          <w:rFonts w:hint="default" w:ascii="仿宋" w:hAnsi="仿宋" w:eastAsia="仿宋" w:cs="仿宋"/>
          <w:sz w:val="24"/>
          <w:lang w:val="en-US" w:eastAsia="zh-CN"/>
        </w:rPr>
        <w:t>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rPr>
          <w:rFonts w:hint="eastAsia" w:ascii="仿宋" w:hAnsi="仿宋" w:eastAsia="仿宋" w:cs="仿宋"/>
          <w:b/>
          <w:sz w:val="32"/>
          <w:szCs w:val="32"/>
        </w:rPr>
      </w:pPr>
      <w:bookmarkStart w:id="7" w:name="_Toc91899903"/>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sz w:val="24"/>
          <w:lang w:val="en-US" w:eastAsia="zh-CN"/>
        </w:rPr>
      </w:pPr>
      <w:r>
        <w:rPr>
          <w:rFonts w:hint="eastAsia" w:ascii="仿宋" w:hAnsi="仿宋" w:eastAsia="仿宋" w:cs="仿宋"/>
          <w:b/>
          <w:sz w:val="24"/>
        </w:rPr>
        <w:t>1．</w:t>
      </w:r>
      <w:r>
        <w:rPr>
          <w:rFonts w:hint="eastAsia" w:ascii="仿宋" w:hAnsi="仿宋" w:eastAsia="仿宋" w:cs="仿宋"/>
          <w:b/>
          <w:bCs/>
          <w:sz w:val="24"/>
          <w:lang w:val="en-US" w:eastAsia="zh-CN"/>
        </w:rPr>
        <w:t>开标程序：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1.1开标会按照采购公告规定的时间、地点组织开标，由采购单位主持，主持人宣布开标会议开始。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1.2主持人介绍参加开标会的人员名单。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1.3主持人宣布评标期间的有关事项，告知应当回避的情形，提请有关人员回避。</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1.4投标人或其当场推荐的代表检查投标文件密封的完整性并签字确认。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1.5主持人按有效报名顺序依次拆封投标文件。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主持人宣读投标文件有关内容，同时当场制作并打印《开标记录表》，由各投标人法定代表人或其授权代表在开标记录表上签字确认（不予确认的应说明理由，否则视为无异议）。并将投标文件及开标记录表送至评审地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1.7评标委员会对投标文件的合理性、准确性、有效性等进行审查核实。评审结束后，主持人宣布资格和商务技术评审无效投标人名单及理由，公布中标人名单。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1.8开标会议结束。</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2.2评标委员会由采购人代表组成，成员人数为五人以上单数。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2.5评审小组组长组织评审人员独立评审。评审小组对拟认定为采购响应文件无效、供应商资格不符合的，应组织相关供应商代表进行陈述、澄清或申辩。</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2.7评标委员会不向落标方解释落标的原因。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3.3如果投标文件实质不响应招标文件的各项要求，评标委员会将予以拒绝，并且不允许投标人通过修改或撤销其不符合要求的差异或保留，使之成为具有实质性响应的投标。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4</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5.4在评审过程中，如属于实质性偏离或符合无效响应条件的，应当询问相关投标人，但不允许对偏离条款进行补充、修正或撤回。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5.6.1评标委员会认为投标人的报价明显低于其他通过符合性审查投标人的报价，有可能影响产品质量或者不能诚信履约的，应当要求其在合理的时间内提供说明，必要时提交相关证明材料。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5.7评标委员会依据招标文件规定的评标标准和方法，对投标文件进行评审和比较后，向采购人提供书面评标报告，并排序推荐中标候选供应商。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lang w:val="en-US" w:eastAsia="zh-CN"/>
        </w:rPr>
        <w:t>6</w:t>
      </w:r>
      <w:r>
        <w:rPr>
          <w:rFonts w:hint="eastAsia" w:ascii="仿宋" w:hAnsi="仿宋" w:eastAsia="仿宋" w:cs="仿宋"/>
          <w:b/>
        </w:rPr>
        <w:t>.投标文件的澄清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.1未按照招标文件规定要求签字或盖章的；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.22.1供应商直接或者间接从采购人处获得其他供应商的相关情况并修改其投标文件或者响应文件；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.22.2供应商按照采购人的授意撤换、修改投标文件或者响应文件；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lang w:val="en-US" w:eastAsia="zh-CN"/>
        </w:rPr>
        <w:t>7</w:t>
      </w:r>
      <w:r>
        <w:rPr>
          <w:rFonts w:hint="eastAsia" w:ascii="仿宋" w:hAnsi="仿宋" w:eastAsia="仿宋" w:cs="仿宋"/>
          <w:b/>
          <w:sz w:val="24"/>
        </w:rPr>
        <w:t>.25其他违反法律、法规的情形。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lang w:val="en-US" w:eastAsia="zh-CN"/>
        </w:rPr>
        <w:t>8</w:t>
      </w:r>
      <w:r>
        <w:rPr>
          <w:rFonts w:hint="eastAsia" w:ascii="仿宋" w:hAnsi="仿宋" w:eastAsia="仿宋" w:cs="仿宋"/>
          <w:b/>
          <w:kern w:val="0"/>
          <w:sz w:val="24"/>
        </w:rPr>
        <w:t>.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7"/>
    <w:p>
      <w:pPr>
        <w:rPr>
          <w:rFonts w:hint="eastAsia" w:ascii="仿宋" w:hAnsi="仿宋" w:eastAsia="仿宋" w:cs="仿宋"/>
          <w:b/>
          <w:sz w:val="32"/>
          <w:szCs w:val="32"/>
        </w:rPr>
      </w:pPr>
      <w:bookmarkStart w:id="8" w:name="_Hlt75236011"/>
      <w:bookmarkEnd w:id="8"/>
      <w:bookmarkStart w:id="9" w:name="_Hlt68057669"/>
      <w:bookmarkEnd w:id="9"/>
      <w:bookmarkStart w:id="10" w:name="_Hlt74729768"/>
      <w:bookmarkEnd w:id="10"/>
      <w:bookmarkStart w:id="11" w:name="_Hlt74714665"/>
      <w:bookmarkEnd w:id="11"/>
      <w:bookmarkStart w:id="12" w:name="_Hlt68072998"/>
      <w:bookmarkEnd w:id="12"/>
      <w:bookmarkStart w:id="13" w:name="_Hlt68073093"/>
      <w:bookmarkEnd w:id="13"/>
      <w:bookmarkStart w:id="14" w:name="_Hlt74730295"/>
      <w:bookmarkEnd w:id="14"/>
      <w:bookmarkStart w:id="15" w:name="_Hlt75236290"/>
      <w:bookmarkEnd w:id="15"/>
      <w:bookmarkStart w:id="16" w:name="_Hlt68403820"/>
      <w:bookmarkEnd w:id="16"/>
      <w:bookmarkStart w:id="17" w:name="_Hlt74707468"/>
      <w:bookmarkEnd w:id="17"/>
      <w:bookmarkStart w:id="18" w:name="_Hlt68072990"/>
      <w:bookmarkEnd w:id="18"/>
      <w:bookmarkStart w:id="19" w:name="_Hlt75236101"/>
      <w:bookmarkEnd w:id="19"/>
      <w:bookmarkStart w:id="20" w:name="_Toc81372776"/>
      <w:bookmarkStart w:id="21" w:name="_Toc84325929"/>
      <w:bookmarkStart w:id="22" w:name="_Toc81372953"/>
      <w:r>
        <w:rPr>
          <w:rFonts w:hint="eastAsia" w:ascii="仿宋" w:hAnsi="仿宋" w:eastAsia="仿宋" w:cs="仿宋"/>
          <w:b/>
          <w:sz w:val="32"/>
          <w:szCs w:val="32"/>
        </w:rPr>
        <w:br w:type="page"/>
      </w:r>
    </w:p>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r>
        <w:rPr>
          <w:rFonts w:hint="eastAsia" w:ascii="仿宋" w:hAnsi="仿宋" w:eastAsia="仿宋" w:cs="仿宋"/>
          <w:b/>
          <w:sz w:val="32"/>
          <w:szCs w:val="32"/>
        </w:rPr>
        <w:t>五、授予合同</w:t>
      </w:r>
    </w:p>
    <w:bookmarkEnd w:id="20"/>
    <w:bookmarkEnd w:id="21"/>
    <w:bookmarkEnd w:id="22"/>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w:t>
      </w:r>
      <w:r>
        <w:rPr>
          <w:rFonts w:hint="eastAsia" w:ascii="仿宋" w:hAnsi="仿宋" w:eastAsia="仿宋" w:cs="仿宋"/>
          <w:sz w:val="24"/>
          <w:lang w:eastAsia="zh-CN"/>
        </w:rPr>
        <w:t>人</w:t>
      </w:r>
      <w:r>
        <w:rPr>
          <w:rFonts w:hint="eastAsia" w:ascii="仿宋" w:hAnsi="仿宋" w:eastAsia="仿宋" w:cs="仿宋"/>
          <w:sz w:val="24"/>
        </w:rPr>
        <w:t>对中标结果在</w:t>
      </w:r>
      <w:r>
        <w:rPr>
          <w:rFonts w:hint="eastAsia" w:ascii="仿宋" w:hAnsi="仿宋" w:eastAsia="仿宋" w:cs="仿宋"/>
          <w:sz w:val="24"/>
          <w:lang w:eastAsia="zh-CN"/>
        </w:rPr>
        <w:t>绍兴图书馆网站</w:t>
      </w:r>
      <w:r>
        <w:rPr>
          <w:rFonts w:hint="eastAsia" w:ascii="仿宋" w:hAnsi="仿宋" w:eastAsia="仿宋" w:cs="仿宋"/>
          <w:sz w:val="24"/>
        </w:rPr>
        <w:t>（</w:t>
      </w:r>
      <w:r>
        <w:rPr>
          <w:rFonts w:hint="eastAsia" w:ascii="仿宋" w:hAnsi="仿宋" w:eastAsia="仿宋" w:cs="仿宋"/>
          <w:sz w:val="24"/>
          <w:lang w:val="en-US" w:eastAsia="zh-CN"/>
        </w:rPr>
        <w:t>www.sxlib.com</w:t>
      </w:r>
      <w:r>
        <w:rPr>
          <w:rFonts w:hint="eastAsia" w:ascii="仿宋" w:hAnsi="仿宋" w:eastAsia="仿宋" w:cs="仿宋"/>
          <w:sz w:val="24"/>
        </w:rPr>
        <w:t>）发布中标公告，中标公告期限为1个工作日。</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default" w:ascii="仿宋" w:hAnsi="仿宋" w:eastAsia="仿宋" w:cs="仿宋"/>
          <w:b/>
          <w:bCs/>
          <w:i w:val="0"/>
          <w:iCs w:val="0"/>
          <w:color w:val="auto"/>
          <w:kern w:val="2"/>
          <w:sz w:val="24"/>
          <w:szCs w:val="24"/>
          <w:highlight w:val="none"/>
          <w:vertAlign w:val="baseline"/>
          <w:lang w:val="en-US" w:eastAsia="zh-CN" w:bidi="ar-SA"/>
        </w:rPr>
        <w:t xml:space="preserve">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供应商对政府采购活动事项有疑问的，可以提出询问，采购人应当在3个工作日内对供应商依法提出的询问作出答复，但答复的内容不得涉及商业秘密。</w:t>
      </w:r>
    </w:p>
    <w:p>
      <w:pPr>
        <w:adjustRightInd w:val="0"/>
        <w:spacing w:line="336" w:lineRule="auto"/>
        <w:jc w:val="both"/>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w:t>
      </w:r>
      <w:r>
        <w:rPr>
          <w:rFonts w:hint="default" w:ascii="仿宋" w:hAnsi="仿宋" w:eastAsia="仿宋" w:cs="仿宋"/>
          <w:b/>
          <w:bCs/>
          <w:i w:val="0"/>
          <w:iCs w:val="0"/>
          <w:color w:val="auto"/>
          <w:kern w:val="2"/>
          <w:sz w:val="24"/>
          <w:szCs w:val="24"/>
          <w:highlight w:val="none"/>
          <w:vertAlign w:val="baseline"/>
          <w:lang w:val="en-US" w:eastAsia="zh-CN" w:bidi="ar-SA"/>
        </w:rPr>
        <w:t>. 供应商质疑</w:t>
      </w:r>
    </w:p>
    <w:p>
      <w:pPr>
        <w:adjustRightInd w:val="0"/>
        <w:spacing w:line="336" w:lineRule="auto"/>
        <w:ind w:firstLine="482" w:firstLineChars="200"/>
        <w:jc w:val="both"/>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.1.2供应商认为采购文件、采购过程和成交结果使自己的权益受到损害的，可以在知道或者应知其权益受到损害之日起七个工作日内，以书面形式向采购人提出质疑，否则，采购人不予受理：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4.1质疑供应商对采购人的答复不满意或者采购人未在规定的时间内作出答复的，可以在答复期满后十五个工作日内向同级政府采购监督管理部门提出投诉。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2"/>
          <w:cols w:space="720" w:num="1"/>
          <w:docGrid w:linePitch="312" w:charSpace="0"/>
        </w:sectPr>
      </w:pPr>
    </w:p>
    <w:bookmarkEnd w:id="5"/>
    <w:bookmarkEnd w:id="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23" w:name="第四部分"/>
      <w:r>
        <w:rPr>
          <w:rFonts w:hint="eastAsia" w:ascii="仿宋" w:hAnsi="仿宋" w:eastAsia="仿宋" w:cs="仿宋"/>
          <w:b/>
          <w:sz w:val="36"/>
          <w:szCs w:val="36"/>
        </w:rPr>
        <w:t>第三部分   招标项目范围及要求</w:t>
      </w:r>
    </w:p>
    <w:bookmarkEnd w:id="23"/>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bookmarkStart w:id="24" w:name="第五部分"/>
      <w:bookmarkStart w:id="25" w:name="_Toc86217003"/>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一、招标范围：</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绍兴图书馆历史文献馆内民国文献书库七氟丙烷气体灭火系统的充装、供货、安装、调试、检测、验收及维护等工作。</w:t>
      </w:r>
      <w:r>
        <w:rPr>
          <w:rFonts w:hint="default" w:ascii="仿宋" w:hAnsi="仿宋" w:eastAsia="仿宋" w:cs="仿宋"/>
          <w:b w:val="0"/>
          <w:bCs w:val="0"/>
          <w:i w:val="0"/>
          <w:iCs w:val="0"/>
          <w:color w:val="auto"/>
          <w:kern w:val="2"/>
          <w:sz w:val="24"/>
          <w:szCs w:val="20"/>
          <w:highlight w:val="none"/>
          <w:vertAlign w:val="baseline"/>
          <w:lang w:val="en-US" w:eastAsia="zh-CN" w:bidi="ar-SA"/>
        </w:rPr>
        <w:t>依据现行气体灭火系统设计、施工、验收规范，进行一次气体灭火系统药剂充装，并出具</w:t>
      </w:r>
      <w:r>
        <w:rPr>
          <w:rFonts w:hint="eastAsia" w:ascii="仿宋" w:hAnsi="仿宋" w:eastAsia="仿宋" w:cs="仿宋"/>
          <w:b w:val="0"/>
          <w:bCs w:val="0"/>
          <w:i w:val="0"/>
          <w:iCs w:val="0"/>
          <w:color w:val="auto"/>
          <w:kern w:val="2"/>
          <w:sz w:val="24"/>
          <w:szCs w:val="20"/>
          <w:highlight w:val="none"/>
          <w:vertAlign w:val="baseline"/>
          <w:lang w:val="en-US" w:eastAsia="zh-CN" w:bidi="ar-SA"/>
        </w:rPr>
        <w:t>由</w:t>
      </w:r>
      <w:r>
        <w:rPr>
          <w:rFonts w:hint="default" w:ascii="仿宋" w:hAnsi="仿宋" w:eastAsia="仿宋" w:cs="仿宋"/>
          <w:b w:val="0"/>
          <w:bCs w:val="0"/>
          <w:i w:val="0"/>
          <w:iCs w:val="0"/>
          <w:color w:val="auto"/>
          <w:kern w:val="2"/>
          <w:sz w:val="24"/>
          <w:szCs w:val="20"/>
          <w:highlight w:val="none"/>
          <w:vertAlign w:val="baseline"/>
          <w:lang w:val="en-US" w:eastAsia="zh-CN" w:bidi="ar-SA"/>
        </w:rPr>
        <w:t>第三方气体灭火系统检测合格报告。</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拆卸、安装时需确保不影响环境，原设备可以拆卸下来后，运输出去抽取原罐体内的灭火剂、清洗罐体。原设备在运输在外时，必须</w:t>
      </w:r>
      <w:r>
        <w:rPr>
          <w:rFonts w:hint="eastAsia" w:ascii="仿宋" w:hAnsi="仿宋" w:eastAsia="仿宋" w:cs="仿宋"/>
          <w:b w:val="0"/>
          <w:bCs w:val="0"/>
          <w:i w:val="0"/>
          <w:iCs w:val="0"/>
          <w:color w:val="auto"/>
          <w:kern w:val="2"/>
          <w:sz w:val="24"/>
          <w:szCs w:val="20"/>
          <w:highlight w:val="none"/>
          <w:vertAlign w:val="baseline"/>
          <w:lang w:val="en-US" w:eastAsia="zh-CN" w:bidi="ar-SA"/>
        </w:rPr>
        <w:t>配备一定数量的移动式灭火器</w:t>
      </w:r>
      <w:r>
        <w:rPr>
          <w:rFonts w:hint="default" w:ascii="仿宋" w:hAnsi="仿宋" w:eastAsia="仿宋" w:cs="仿宋"/>
          <w:b w:val="0"/>
          <w:bCs w:val="0"/>
          <w:i w:val="0"/>
          <w:iCs w:val="0"/>
          <w:color w:val="auto"/>
          <w:kern w:val="2"/>
          <w:sz w:val="24"/>
          <w:szCs w:val="20"/>
          <w:highlight w:val="none"/>
          <w:vertAlign w:val="baseline"/>
          <w:lang w:val="en-US" w:eastAsia="zh-CN" w:bidi="ar-SA"/>
        </w:rPr>
        <w:t>，确保相关场所的安全。</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二、付款方式：</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供货完成，经安装、调试、第三方检测机构</w:t>
      </w:r>
      <w:r>
        <w:rPr>
          <w:rFonts w:hint="default" w:ascii="仿宋" w:hAnsi="仿宋" w:eastAsia="仿宋" w:cs="仿宋"/>
          <w:b w:val="0"/>
          <w:bCs w:val="0"/>
          <w:i w:val="0"/>
          <w:iCs w:val="0"/>
          <w:color w:val="auto"/>
          <w:kern w:val="2"/>
          <w:sz w:val="24"/>
          <w:szCs w:val="20"/>
          <w:highlight w:val="none"/>
          <w:vertAlign w:val="baseline"/>
          <w:lang w:val="en-US" w:eastAsia="zh-CN" w:bidi="ar-SA"/>
        </w:rPr>
        <w:t>验收合格，并提供</w:t>
      </w:r>
      <w:r>
        <w:rPr>
          <w:rFonts w:hint="eastAsia" w:ascii="仿宋" w:hAnsi="仿宋" w:eastAsia="仿宋" w:cs="仿宋"/>
          <w:b w:val="0"/>
          <w:bCs w:val="0"/>
          <w:i w:val="0"/>
          <w:iCs w:val="0"/>
          <w:color w:val="auto"/>
          <w:kern w:val="2"/>
          <w:sz w:val="24"/>
          <w:szCs w:val="20"/>
          <w:highlight w:val="none"/>
          <w:vertAlign w:val="baseline"/>
          <w:lang w:val="en-US" w:eastAsia="zh-CN" w:bidi="ar-SA"/>
        </w:rPr>
        <w:t>第三方检测机构出具</w:t>
      </w:r>
      <w:r>
        <w:rPr>
          <w:rFonts w:hint="default" w:ascii="仿宋" w:hAnsi="仿宋" w:eastAsia="仿宋" w:cs="仿宋"/>
          <w:b w:val="0"/>
          <w:bCs w:val="0"/>
          <w:i w:val="0"/>
          <w:iCs w:val="0"/>
          <w:color w:val="auto"/>
          <w:kern w:val="2"/>
          <w:sz w:val="24"/>
          <w:szCs w:val="20"/>
          <w:highlight w:val="none"/>
          <w:vertAlign w:val="baseline"/>
          <w:lang w:val="en-US" w:eastAsia="zh-CN" w:bidi="ar-SA"/>
        </w:rPr>
        <w:t>的</w:t>
      </w:r>
      <w:r>
        <w:rPr>
          <w:rFonts w:hint="eastAsia" w:ascii="仿宋" w:hAnsi="仿宋" w:eastAsia="仿宋" w:cs="仿宋"/>
          <w:b w:val="0"/>
          <w:bCs w:val="0"/>
          <w:i w:val="0"/>
          <w:iCs w:val="0"/>
          <w:color w:val="auto"/>
          <w:kern w:val="2"/>
          <w:sz w:val="24"/>
          <w:szCs w:val="20"/>
          <w:highlight w:val="none"/>
          <w:vertAlign w:val="baseline"/>
          <w:lang w:val="en-US" w:eastAsia="zh-CN" w:bidi="ar-SA"/>
        </w:rPr>
        <w:t>合格</w:t>
      </w:r>
      <w:r>
        <w:rPr>
          <w:rFonts w:hint="default" w:ascii="仿宋" w:hAnsi="仿宋" w:eastAsia="仿宋" w:cs="仿宋"/>
          <w:b w:val="0"/>
          <w:bCs w:val="0"/>
          <w:i w:val="0"/>
          <w:iCs w:val="0"/>
          <w:color w:val="auto"/>
          <w:kern w:val="2"/>
          <w:sz w:val="24"/>
          <w:szCs w:val="20"/>
          <w:highlight w:val="none"/>
          <w:vertAlign w:val="baseline"/>
          <w:lang w:val="en-US" w:eastAsia="zh-CN" w:bidi="ar-SA"/>
        </w:rPr>
        <w:t>检测报告后一个月内，</w:t>
      </w:r>
      <w:r>
        <w:rPr>
          <w:rFonts w:hint="eastAsia" w:ascii="仿宋" w:hAnsi="仿宋" w:eastAsia="仿宋" w:cs="仿宋"/>
          <w:b w:val="0"/>
          <w:bCs w:val="0"/>
          <w:i w:val="0"/>
          <w:iCs w:val="0"/>
          <w:color w:val="auto"/>
          <w:kern w:val="2"/>
          <w:sz w:val="24"/>
          <w:szCs w:val="20"/>
          <w:highlight w:val="none"/>
          <w:vertAlign w:val="baseline"/>
          <w:lang w:val="en-US" w:eastAsia="zh-CN" w:bidi="ar-SA"/>
        </w:rPr>
        <w:t>付至中标合同价的100%。</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三、质量保证及售后服务要求：</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1.中标单位</w:t>
      </w:r>
      <w:r>
        <w:rPr>
          <w:rFonts w:hint="eastAsia" w:ascii="仿宋" w:hAnsi="仿宋" w:eastAsia="仿宋" w:cs="仿宋"/>
          <w:b w:val="0"/>
          <w:bCs w:val="0"/>
          <w:i w:val="0"/>
          <w:iCs w:val="0"/>
          <w:color w:val="auto"/>
          <w:kern w:val="2"/>
          <w:sz w:val="24"/>
          <w:szCs w:val="20"/>
          <w:highlight w:val="none"/>
          <w:vertAlign w:val="baseline"/>
          <w:lang w:val="en-US" w:eastAsia="zh-CN" w:bidi="ar-SA"/>
        </w:rPr>
        <w:t>应</w:t>
      </w:r>
      <w:r>
        <w:rPr>
          <w:rFonts w:hint="default" w:ascii="仿宋" w:hAnsi="仿宋" w:eastAsia="仿宋" w:cs="仿宋"/>
          <w:b w:val="0"/>
          <w:bCs w:val="0"/>
          <w:i w:val="0"/>
          <w:iCs w:val="0"/>
          <w:color w:val="auto"/>
          <w:kern w:val="2"/>
          <w:sz w:val="24"/>
          <w:szCs w:val="20"/>
          <w:highlight w:val="none"/>
          <w:vertAlign w:val="baseline"/>
          <w:lang w:val="en-US" w:eastAsia="zh-CN" w:bidi="ar-SA"/>
        </w:rPr>
        <w:t>按照招标人规定的时间进行</w:t>
      </w:r>
      <w:r>
        <w:rPr>
          <w:rFonts w:hint="eastAsia" w:ascii="仿宋" w:hAnsi="仿宋" w:eastAsia="仿宋" w:cs="仿宋"/>
          <w:b w:val="0"/>
          <w:bCs w:val="0"/>
          <w:i w:val="0"/>
          <w:iCs w:val="0"/>
          <w:color w:val="auto"/>
          <w:kern w:val="2"/>
          <w:sz w:val="24"/>
          <w:szCs w:val="20"/>
          <w:highlight w:val="none"/>
          <w:vertAlign w:val="baseline"/>
          <w:lang w:val="en-US" w:eastAsia="zh-CN" w:bidi="ar-SA"/>
        </w:rPr>
        <w:t>测试</w:t>
      </w:r>
      <w:r>
        <w:rPr>
          <w:rFonts w:hint="default" w:ascii="仿宋" w:hAnsi="仿宋" w:eastAsia="仿宋" w:cs="仿宋"/>
          <w:b w:val="0"/>
          <w:bCs w:val="0"/>
          <w:i w:val="0"/>
          <w:iCs w:val="0"/>
          <w:color w:val="auto"/>
          <w:kern w:val="2"/>
          <w:sz w:val="24"/>
          <w:szCs w:val="20"/>
          <w:highlight w:val="none"/>
          <w:vertAlign w:val="baseline"/>
          <w:lang w:val="en-US" w:eastAsia="zh-CN" w:bidi="ar-SA"/>
        </w:rPr>
        <w:t>和充装。</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2.中标单位向</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提供可靠的售后技术服务人员的联系方式，随时为</w:t>
      </w:r>
      <w:r>
        <w:rPr>
          <w:rFonts w:hint="eastAsia" w:ascii="仿宋" w:hAnsi="仿宋" w:eastAsia="仿宋" w:cs="仿宋"/>
          <w:b w:val="0"/>
          <w:bCs w:val="0"/>
          <w:i w:val="0"/>
          <w:iCs w:val="0"/>
          <w:color w:val="auto"/>
          <w:kern w:val="2"/>
          <w:sz w:val="24"/>
          <w:szCs w:val="20"/>
          <w:highlight w:val="none"/>
          <w:vertAlign w:val="baseline"/>
          <w:lang w:val="en-US" w:eastAsia="zh-CN" w:bidi="ar-SA"/>
        </w:rPr>
        <w:t>招标人</w:t>
      </w:r>
      <w:r>
        <w:rPr>
          <w:rFonts w:hint="default" w:ascii="仿宋" w:hAnsi="仿宋" w:eastAsia="仿宋" w:cs="仿宋"/>
          <w:b w:val="0"/>
          <w:bCs w:val="0"/>
          <w:i w:val="0"/>
          <w:iCs w:val="0"/>
          <w:color w:val="auto"/>
          <w:kern w:val="2"/>
          <w:sz w:val="24"/>
          <w:szCs w:val="20"/>
          <w:highlight w:val="none"/>
          <w:vertAlign w:val="baseline"/>
          <w:lang w:val="en-US" w:eastAsia="zh-CN" w:bidi="ar-SA"/>
        </w:rPr>
        <w:t>提供售后或技术咨询，并提供技术支持。</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3.中标供应商须提供从验收合格之日起，叁年的免费质保期和叁年的免费维修保养服务。供应商承诺优于本要求的，以承诺为准。</w:t>
      </w:r>
      <w:r>
        <w:rPr>
          <w:rFonts w:hint="default" w:ascii="仿宋" w:hAnsi="仿宋" w:eastAsia="仿宋" w:cs="仿宋"/>
          <w:b w:val="0"/>
          <w:bCs w:val="0"/>
          <w:i w:val="0"/>
          <w:iCs w:val="0"/>
          <w:color w:val="auto"/>
          <w:kern w:val="2"/>
          <w:sz w:val="24"/>
          <w:szCs w:val="20"/>
          <w:highlight w:val="none"/>
          <w:vertAlign w:val="baseline"/>
          <w:lang w:val="en-US" w:eastAsia="zh-CN" w:bidi="ar-SA"/>
        </w:rPr>
        <w:t>质保期内，中标单位提供的商品出现非使用方人为因素造成的质量问题，由中标单位负责免费维修，如维修仍不能达到甲方使用要求的，中标单位应提供原厂同品牌同质量的商品无偿调换。如因商品质量问题给需方造成损失或产生安全事故，一切责任由中标单位承担，并负责赔偿需方所造成的损失。</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无论在质保期内，中标供应商负责对其实施的项目提供现场服务。要求中标供应商在接到采购人的电话后1小时内响应，2小时内到达现场，并最迟在第2个工作日内排除故障，48小时内无法修复的，必须采取临时调换等措施，以保证采购人的正常使用。临时调换的设备要求不低于原有的设备要求。质保期内中标方必须每个月对中标设备进行检查测试并出具相关检查测试记录，由甲方工作人员签字认可。</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四、设备清单：</w:t>
      </w:r>
    </w:p>
    <w:tbl>
      <w:tblPr>
        <w:tblStyle w:val="64"/>
        <w:tblW w:w="82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780"/>
        <w:gridCol w:w="1265"/>
        <w:gridCol w:w="1091"/>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765" w:type="dxa"/>
            <w:noWrap w:val="0"/>
            <w:vAlign w:val="center"/>
          </w:tcPr>
          <w:p>
            <w:pPr>
              <w:adjustRightInd w:val="0"/>
              <w:spacing w:line="336" w:lineRule="auto"/>
              <w:jc w:val="center"/>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序号</w:t>
            </w:r>
          </w:p>
        </w:tc>
        <w:tc>
          <w:tcPr>
            <w:tcW w:w="3780" w:type="dxa"/>
            <w:noWrap w:val="0"/>
            <w:vAlign w:val="center"/>
          </w:tcPr>
          <w:p>
            <w:pPr>
              <w:adjustRightInd w:val="0"/>
              <w:spacing w:line="336" w:lineRule="auto"/>
              <w:jc w:val="center"/>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名称</w:t>
            </w:r>
          </w:p>
        </w:tc>
        <w:tc>
          <w:tcPr>
            <w:tcW w:w="1265" w:type="dxa"/>
            <w:noWrap w:val="0"/>
            <w:vAlign w:val="center"/>
          </w:tcPr>
          <w:p>
            <w:pPr>
              <w:adjustRightInd w:val="0"/>
              <w:spacing w:line="336" w:lineRule="auto"/>
              <w:jc w:val="center"/>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规格型号</w:t>
            </w:r>
          </w:p>
        </w:tc>
        <w:tc>
          <w:tcPr>
            <w:tcW w:w="1091" w:type="dxa"/>
            <w:noWrap w:val="0"/>
            <w:vAlign w:val="center"/>
          </w:tcPr>
          <w:p>
            <w:pPr>
              <w:adjustRightInd w:val="0"/>
              <w:spacing w:line="336" w:lineRule="auto"/>
              <w:jc w:val="center"/>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单位</w:t>
            </w:r>
          </w:p>
        </w:tc>
        <w:tc>
          <w:tcPr>
            <w:tcW w:w="1323" w:type="dxa"/>
            <w:noWrap w:val="0"/>
            <w:vAlign w:val="center"/>
          </w:tcPr>
          <w:p>
            <w:pPr>
              <w:adjustRightInd w:val="0"/>
              <w:spacing w:line="336" w:lineRule="auto"/>
              <w:jc w:val="center"/>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65" w:type="dxa"/>
            <w:noWrap w:val="0"/>
            <w:vAlign w:val="center"/>
          </w:tcPr>
          <w:p>
            <w:pPr>
              <w:adjustRightInd w:val="0"/>
              <w:spacing w:line="336" w:lineRule="auto"/>
              <w:jc w:val="center"/>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1</w:t>
            </w:r>
          </w:p>
        </w:tc>
        <w:tc>
          <w:tcPr>
            <w:tcW w:w="3780" w:type="dxa"/>
            <w:noWrap w:val="0"/>
            <w:vAlign w:val="center"/>
          </w:tcPr>
          <w:p>
            <w:pPr>
              <w:adjustRightInd w:val="0"/>
              <w:spacing w:line="336" w:lineRule="auto"/>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七氟丙烷</w:t>
            </w:r>
            <w:r>
              <w:rPr>
                <w:rFonts w:hint="eastAsia" w:ascii="仿宋" w:hAnsi="仿宋" w:eastAsia="仿宋" w:cs="仿宋"/>
                <w:b w:val="0"/>
                <w:bCs w:val="0"/>
                <w:i w:val="0"/>
                <w:iCs w:val="0"/>
                <w:color w:val="auto"/>
                <w:kern w:val="2"/>
                <w:sz w:val="24"/>
                <w:szCs w:val="20"/>
                <w:highlight w:val="none"/>
                <w:vertAlign w:val="baseline"/>
                <w:lang w:val="en-US" w:eastAsia="zh-CN" w:bidi="ar-SA"/>
              </w:rPr>
              <w:t>气体灭火系统检测充装</w:t>
            </w:r>
          </w:p>
        </w:tc>
        <w:tc>
          <w:tcPr>
            <w:tcW w:w="1265" w:type="dxa"/>
            <w:noWrap w:val="0"/>
            <w:vAlign w:val="center"/>
          </w:tcPr>
          <w:p>
            <w:pPr>
              <w:adjustRightInd w:val="0"/>
              <w:spacing w:line="336" w:lineRule="auto"/>
              <w:jc w:val="center"/>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120</w:t>
            </w:r>
            <w:r>
              <w:rPr>
                <w:rFonts w:hint="default" w:ascii="仿宋" w:hAnsi="仿宋" w:eastAsia="仿宋" w:cs="仿宋"/>
                <w:b w:val="0"/>
                <w:bCs w:val="0"/>
                <w:i w:val="0"/>
                <w:iCs w:val="0"/>
                <w:color w:val="auto"/>
                <w:kern w:val="2"/>
                <w:sz w:val="24"/>
                <w:szCs w:val="20"/>
                <w:highlight w:val="none"/>
                <w:vertAlign w:val="baseline"/>
                <w:lang w:val="en-US" w:eastAsia="zh-CN" w:bidi="ar-SA"/>
              </w:rPr>
              <w:t>L</w:t>
            </w:r>
          </w:p>
        </w:tc>
        <w:tc>
          <w:tcPr>
            <w:tcW w:w="1091" w:type="dxa"/>
            <w:noWrap w:val="0"/>
            <w:vAlign w:val="center"/>
          </w:tcPr>
          <w:p>
            <w:pPr>
              <w:adjustRightInd w:val="0"/>
              <w:spacing w:line="336" w:lineRule="auto"/>
              <w:jc w:val="center"/>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瓶组</w:t>
            </w:r>
          </w:p>
        </w:tc>
        <w:tc>
          <w:tcPr>
            <w:tcW w:w="1323" w:type="dxa"/>
            <w:noWrap w:val="0"/>
            <w:vAlign w:val="center"/>
          </w:tcPr>
          <w:p>
            <w:pPr>
              <w:adjustRightInd w:val="0"/>
              <w:spacing w:line="336" w:lineRule="auto"/>
              <w:jc w:val="center"/>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10</w:t>
            </w:r>
          </w:p>
        </w:tc>
      </w:tr>
    </w:tbl>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五、其它：</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w:t>
      </w:r>
      <w:r>
        <w:rPr>
          <w:rFonts w:hint="default" w:ascii="仿宋" w:hAnsi="仿宋" w:eastAsia="仿宋" w:cs="仿宋"/>
          <w:b w:val="0"/>
          <w:bCs w:val="0"/>
          <w:i w:val="0"/>
          <w:iCs w:val="0"/>
          <w:color w:val="auto"/>
          <w:kern w:val="2"/>
          <w:sz w:val="24"/>
          <w:szCs w:val="20"/>
          <w:highlight w:val="none"/>
          <w:vertAlign w:val="baseline"/>
          <w:lang w:val="en-US" w:eastAsia="zh-CN" w:bidi="ar-SA"/>
        </w:rPr>
        <w:t>检测维修内容应包括：钢瓶内部窥视损锈及处理；密封性检查；年泄漏量检测；瓶头阀的维修更换；钢瓶表面防腐处理；钢瓶拆卸、安装、运输、系统接线等。</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若气瓶在检测过程中发现零部件损坏或不合格需要更换时，按实际数量更换并结算。</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3.第三方检测机构出具的合格检测报告应在验收合格后15日内完成。</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5"/>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rPr>
          <w:rFonts w:hint="eastAsia" w:ascii="仿宋" w:hAnsi="仿宋" w:eastAsia="仿宋" w:cs="仿宋"/>
          <w:b/>
          <w:sz w:val="24"/>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26" w:name="_Toc20421"/>
      <w:bookmarkStart w:id="27" w:name="_Toc19273"/>
      <w:bookmarkStart w:id="28" w:name="_Toc22967"/>
      <w:bookmarkStart w:id="29" w:name="_Toc28855"/>
      <w:bookmarkStart w:id="30" w:name="_Toc15367"/>
      <w:r>
        <w:rPr>
          <w:rFonts w:hint="eastAsia" w:ascii="仿宋" w:hAnsi="仿宋" w:eastAsia="仿宋" w:cs="仿宋"/>
          <w:b/>
          <w:sz w:val="24"/>
        </w:rPr>
        <w:t>1.1 合同组成部分</w:t>
      </w:r>
      <w:bookmarkEnd w:id="26"/>
      <w:bookmarkEnd w:id="27"/>
      <w:bookmarkEnd w:id="28"/>
      <w:bookmarkEnd w:id="29"/>
      <w:bookmarkEnd w:id="3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31" w:name="_Toc22185"/>
      <w:bookmarkStart w:id="32" w:name="_Toc2918"/>
      <w:bookmarkStart w:id="33" w:name="_Toc6311"/>
      <w:bookmarkStart w:id="34" w:name="_Toc18585"/>
      <w:bookmarkStart w:id="35" w:name="_Toc6773"/>
      <w:r>
        <w:rPr>
          <w:rFonts w:hint="eastAsia" w:ascii="仿宋" w:hAnsi="仿宋" w:eastAsia="仿宋" w:cs="仿宋"/>
          <w:b/>
          <w:sz w:val="24"/>
        </w:rPr>
        <w:t>1.2 标的</w:t>
      </w:r>
      <w:bookmarkEnd w:id="31"/>
      <w:bookmarkEnd w:id="32"/>
      <w:bookmarkEnd w:id="33"/>
      <w:bookmarkEnd w:id="34"/>
      <w:bookmarkEnd w:id="3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36" w:name="_Toc4929"/>
      <w:bookmarkStart w:id="37" w:name="_Toc21124"/>
      <w:bookmarkStart w:id="38" w:name="_Toc1386"/>
      <w:bookmarkStart w:id="39" w:name="_Toc13918"/>
      <w:bookmarkStart w:id="40"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36"/>
      <w:bookmarkEnd w:id="37"/>
      <w:bookmarkEnd w:id="38"/>
      <w:bookmarkEnd w:id="39"/>
      <w:bookmarkEnd w:id="4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41" w:name="_Toc30158"/>
      <w:bookmarkStart w:id="42" w:name="_Toc14993"/>
      <w:bookmarkStart w:id="43" w:name="_Toc26916"/>
      <w:bookmarkStart w:id="44" w:name="_Toc30506"/>
      <w:bookmarkStart w:id="45"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41"/>
    <w:bookmarkEnd w:id="42"/>
    <w:bookmarkEnd w:id="43"/>
    <w:bookmarkEnd w:id="44"/>
    <w:bookmarkEnd w:id="45"/>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46" w:name="_Toc22618"/>
      <w:bookmarkStart w:id="47" w:name="_Toc10340"/>
      <w:bookmarkStart w:id="48" w:name="_Toc1814"/>
      <w:bookmarkStart w:id="49" w:name="_Toc4760"/>
      <w:bookmarkStart w:id="50" w:name="_Toc31421"/>
      <w:bookmarkStart w:id="51" w:name="_Toc3625"/>
      <w:bookmarkStart w:id="52" w:name="_Toc8772"/>
      <w:bookmarkStart w:id="53" w:name="_Toc11108"/>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46"/>
      <w:bookmarkEnd w:id="47"/>
      <w:bookmarkEnd w:id="48"/>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49"/>
      <w:bookmarkEnd w:id="50"/>
      <w:bookmarkEnd w:id="51"/>
      <w:bookmarkEnd w:id="52"/>
      <w:bookmarkEnd w:id="5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54" w:name="_Toc2375"/>
      <w:bookmarkStart w:id="55" w:name="_Toc5698"/>
      <w:bookmarkStart w:id="56" w:name="_Toc8586"/>
      <w:bookmarkStart w:id="57" w:name="_Toc24662"/>
      <w:bookmarkStart w:id="58" w:name="_Toc3079"/>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54"/>
      <w:bookmarkEnd w:id="55"/>
      <w:bookmarkEnd w:id="56"/>
      <w:bookmarkEnd w:id="57"/>
      <w:bookmarkEnd w:id="5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9" w:name="_Toc18683"/>
      <w:bookmarkStart w:id="60" w:name="_Toc26807"/>
      <w:bookmarkStart w:id="61" w:name="_Toc32454"/>
      <w:bookmarkStart w:id="62" w:name="_Toc9497"/>
      <w:bookmarkStart w:id="63"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59"/>
    <w:bookmarkEnd w:id="60"/>
    <w:bookmarkEnd w:id="61"/>
    <w:bookmarkEnd w:id="62"/>
    <w:bookmarkEnd w:id="63"/>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64" w:name="_Toc16021"/>
      <w:bookmarkStart w:id="65" w:name="_Toc15583"/>
      <w:bookmarkStart w:id="66" w:name="_Toc28375"/>
      <w:r>
        <w:rPr>
          <w:rFonts w:hint="eastAsia" w:ascii="仿宋" w:hAnsi="仿宋" w:eastAsia="仿宋" w:cs="仿宋"/>
          <w:b/>
          <w:sz w:val="24"/>
        </w:rPr>
        <w:t>1.9合同争议的解决</w:t>
      </w:r>
      <w:bookmarkEnd w:id="64"/>
      <w:bookmarkEnd w:id="65"/>
      <w:bookmarkEnd w:id="6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67" w:name="_Toc11173"/>
      <w:bookmarkStart w:id="68" w:name="_Toc15322"/>
      <w:bookmarkStart w:id="69" w:name="_Toc7245"/>
      <w:r>
        <w:rPr>
          <w:rFonts w:hint="eastAsia" w:ascii="仿宋" w:hAnsi="仿宋" w:eastAsia="仿宋" w:cs="仿宋"/>
          <w:b/>
          <w:sz w:val="24"/>
        </w:rPr>
        <w:t>2.0 合同生效</w:t>
      </w:r>
      <w:bookmarkEnd w:id="67"/>
      <w:bookmarkEnd w:id="68"/>
      <w:bookmarkEnd w:id="6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left="0" w:leftChars="0" w:firstLine="482" w:firstLineChars="200"/>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70" w:name="_Toc31297"/>
      <w:bookmarkStart w:id="71" w:name="_Toc19680"/>
      <w:bookmarkStart w:id="72" w:name="_Toc25079"/>
      <w:bookmarkStart w:id="73" w:name="_Toc14021"/>
      <w:bookmarkStart w:id="74" w:name="_Toc5228"/>
      <w:r>
        <w:rPr>
          <w:rFonts w:hint="eastAsia" w:ascii="仿宋" w:hAnsi="仿宋" w:eastAsia="仿宋" w:cs="仿宋"/>
          <w:b/>
          <w:sz w:val="24"/>
        </w:rPr>
        <w:t>2.1 定义</w:t>
      </w:r>
      <w:bookmarkEnd w:id="70"/>
      <w:bookmarkEnd w:id="71"/>
      <w:bookmarkEnd w:id="72"/>
      <w:bookmarkEnd w:id="73"/>
      <w:bookmarkEnd w:id="7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75" w:name="_Toc23289"/>
      <w:bookmarkStart w:id="76" w:name="_Toc19539"/>
      <w:bookmarkStart w:id="77" w:name="_Toc16752"/>
      <w:bookmarkStart w:id="78" w:name="_Toc3769"/>
      <w:bookmarkStart w:id="79" w:name="_Toc31402"/>
      <w:r>
        <w:rPr>
          <w:rFonts w:hint="eastAsia" w:ascii="仿宋" w:hAnsi="仿宋" w:eastAsia="仿宋" w:cs="仿宋"/>
          <w:b/>
          <w:sz w:val="24"/>
        </w:rPr>
        <w:t>2.2 技术规范</w:t>
      </w:r>
      <w:bookmarkEnd w:id="75"/>
      <w:bookmarkEnd w:id="76"/>
      <w:bookmarkEnd w:id="77"/>
      <w:bookmarkEnd w:id="78"/>
      <w:bookmarkEnd w:id="7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80" w:name="_Toc9161"/>
      <w:bookmarkStart w:id="81" w:name="_Toc27945"/>
      <w:bookmarkStart w:id="82" w:name="_Toc12412"/>
      <w:bookmarkStart w:id="83" w:name="_Toc13673"/>
      <w:bookmarkStart w:id="84" w:name="_Toc4133"/>
      <w:r>
        <w:rPr>
          <w:rFonts w:hint="eastAsia" w:ascii="仿宋" w:hAnsi="仿宋" w:eastAsia="仿宋" w:cs="仿宋"/>
          <w:b/>
          <w:sz w:val="24"/>
        </w:rPr>
        <w:t>2.3 知识产权</w:t>
      </w:r>
      <w:bookmarkEnd w:id="80"/>
      <w:bookmarkEnd w:id="81"/>
      <w:bookmarkEnd w:id="82"/>
      <w:bookmarkEnd w:id="83"/>
      <w:bookmarkEnd w:id="8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85" w:name="_Toc15447"/>
      <w:bookmarkStart w:id="86" w:name="_Toc26555"/>
      <w:bookmarkStart w:id="87" w:name="_Toc22011"/>
      <w:bookmarkStart w:id="88" w:name="_Toc31233"/>
      <w:bookmarkStart w:id="89" w:name="_Toc32670"/>
      <w:r>
        <w:rPr>
          <w:rFonts w:hint="eastAsia" w:ascii="仿宋" w:hAnsi="仿宋" w:eastAsia="仿宋" w:cs="仿宋"/>
          <w:b/>
          <w:sz w:val="24"/>
        </w:rPr>
        <w:t>2.5 结算方式和付款条件</w:t>
      </w:r>
      <w:bookmarkEnd w:id="85"/>
      <w:bookmarkEnd w:id="86"/>
      <w:bookmarkEnd w:id="87"/>
      <w:bookmarkEnd w:id="88"/>
      <w:bookmarkEnd w:id="8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0" w:name="_Toc16163"/>
      <w:bookmarkStart w:id="91" w:name="_Toc13467"/>
      <w:bookmarkStart w:id="92" w:name="_Toc18990"/>
      <w:bookmarkStart w:id="93" w:name="_Toc13154"/>
      <w:bookmarkStart w:id="94" w:name="_Toc30507"/>
      <w:r>
        <w:rPr>
          <w:rFonts w:hint="eastAsia" w:ascii="仿宋" w:hAnsi="仿宋" w:eastAsia="仿宋" w:cs="仿宋"/>
          <w:b/>
          <w:sz w:val="24"/>
        </w:rPr>
        <w:t>2.6 技术资料和保密义务</w:t>
      </w:r>
      <w:bookmarkEnd w:id="90"/>
      <w:bookmarkEnd w:id="91"/>
      <w:bookmarkEnd w:id="92"/>
      <w:bookmarkEnd w:id="93"/>
      <w:bookmarkEnd w:id="9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95" w:name="_Toc19069"/>
      <w:r>
        <w:rPr>
          <w:rFonts w:hint="eastAsia" w:ascii="仿宋" w:hAnsi="仿宋" w:eastAsia="仿宋" w:cs="仿宋"/>
          <w:b/>
          <w:sz w:val="24"/>
        </w:rPr>
        <w:t>2.7 质量保证</w:t>
      </w:r>
      <w:bookmarkEnd w:id="9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96" w:name="_Toc22267"/>
      <w:r>
        <w:rPr>
          <w:rFonts w:hint="eastAsia" w:ascii="仿宋" w:hAnsi="仿宋" w:eastAsia="仿宋" w:cs="仿宋"/>
          <w:b/>
          <w:sz w:val="24"/>
        </w:rPr>
        <w:t>2.8 延迟履行</w:t>
      </w:r>
      <w:bookmarkEnd w:id="9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97" w:name="_Toc10611"/>
      <w:r>
        <w:rPr>
          <w:rFonts w:hint="eastAsia" w:ascii="仿宋" w:hAnsi="仿宋" w:eastAsia="仿宋" w:cs="仿宋"/>
          <w:b/>
          <w:sz w:val="24"/>
        </w:rPr>
        <w:t>2.9 合同变更</w:t>
      </w:r>
      <w:bookmarkEnd w:id="9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98" w:name="_Toc21830"/>
      <w:bookmarkStart w:id="99" w:name="_Toc23368"/>
      <w:bookmarkStart w:id="100" w:name="_Toc42"/>
      <w:bookmarkStart w:id="101" w:name="_Toc10663"/>
      <w:bookmarkStart w:id="102" w:name="_Toc26689"/>
      <w:r>
        <w:rPr>
          <w:rFonts w:hint="eastAsia" w:ascii="仿宋" w:hAnsi="仿宋" w:eastAsia="仿宋" w:cs="仿宋"/>
          <w:b/>
          <w:sz w:val="24"/>
        </w:rPr>
        <w:t>2.10 合同转让和分包</w:t>
      </w:r>
      <w:bookmarkEnd w:id="98"/>
      <w:bookmarkEnd w:id="99"/>
      <w:bookmarkEnd w:id="100"/>
      <w:bookmarkEnd w:id="101"/>
      <w:bookmarkEnd w:id="10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03" w:name="_Toc32494"/>
      <w:bookmarkStart w:id="104" w:name="_Toc14371"/>
      <w:bookmarkStart w:id="105" w:name="_Toc4720"/>
      <w:bookmarkStart w:id="106" w:name="_Toc25571"/>
      <w:bookmarkStart w:id="107" w:name="_Toc26633"/>
      <w:r>
        <w:rPr>
          <w:rFonts w:hint="eastAsia" w:ascii="仿宋" w:hAnsi="仿宋" w:eastAsia="仿宋" w:cs="仿宋"/>
          <w:b/>
          <w:sz w:val="24"/>
        </w:rPr>
        <w:t>2.11 不可抗力</w:t>
      </w:r>
      <w:bookmarkEnd w:id="103"/>
      <w:bookmarkEnd w:id="104"/>
      <w:bookmarkEnd w:id="105"/>
      <w:bookmarkEnd w:id="106"/>
      <w:bookmarkEnd w:id="10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08" w:name="_Toc25783"/>
      <w:bookmarkStart w:id="109" w:name="_Toc23854"/>
      <w:bookmarkStart w:id="110" w:name="_Toc24465"/>
      <w:bookmarkStart w:id="111" w:name="_Toc3638"/>
      <w:bookmarkStart w:id="112" w:name="_Toc14115"/>
      <w:r>
        <w:rPr>
          <w:rFonts w:hint="eastAsia" w:ascii="仿宋" w:hAnsi="仿宋" w:eastAsia="仿宋" w:cs="仿宋"/>
          <w:b/>
          <w:sz w:val="24"/>
        </w:rPr>
        <w:t>2.12 税费</w:t>
      </w:r>
      <w:bookmarkEnd w:id="108"/>
      <w:bookmarkEnd w:id="109"/>
      <w:bookmarkEnd w:id="110"/>
      <w:bookmarkEnd w:id="111"/>
      <w:bookmarkEnd w:id="11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13" w:name="_Toc14814"/>
      <w:bookmarkStart w:id="114" w:name="_Toc7315"/>
      <w:bookmarkStart w:id="115" w:name="_Toc26883"/>
      <w:bookmarkStart w:id="116" w:name="_Toc30105"/>
      <w:bookmarkStart w:id="117" w:name="_Toc25525"/>
      <w:r>
        <w:rPr>
          <w:rFonts w:hint="eastAsia" w:ascii="仿宋" w:hAnsi="仿宋" w:eastAsia="仿宋" w:cs="仿宋"/>
          <w:b/>
          <w:sz w:val="24"/>
        </w:rPr>
        <w:t>2.13 乙方破产</w:t>
      </w:r>
      <w:bookmarkEnd w:id="113"/>
      <w:bookmarkEnd w:id="114"/>
      <w:bookmarkEnd w:id="115"/>
      <w:bookmarkEnd w:id="116"/>
      <w:bookmarkEnd w:id="11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18" w:name="_Toc2016"/>
      <w:bookmarkStart w:id="119" w:name="_Toc1123"/>
      <w:bookmarkStart w:id="120" w:name="_Toc23323"/>
      <w:r>
        <w:rPr>
          <w:rFonts w:hint="eastAsia" w:ascii="仿宋" w:hAnsi="仿宋" w:eastAsia="仿宋" w:cs="仿宋"/>
          <w:b/>
          <w:sz w:val="24"/>
        </w:rPr>
        <w:t>2.14 合同中止、终止</w:t>
      </w:r>
      <w:bookmarkEnd w:id="118"/>
      <w:bookmarkEnd w:id="119"/>
      <w:bookmarkEnd w:id="12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21" w:name="_Toc17363"/>
      <w:bookmarkStart w:id="122" w:name="_Toc14525"/>
      <w:bookmarkStart w:id="123" w:name="_Toc1969"/>
      <w:r>
        <w:rPr>
          <w:rFonts w:hint="eastAsia" w:ascii="仿宋" w:hAnsi="仿宋" w:eastAsia="仿宋" w:cs="仿宋"/>
          <w:b/>
          <w:sz w:val="24"/>
        </w:rPr>
        <w:t>2.15 检验和验收</w:t>
      </w:r>
      <w:bookmarkEnd w:id="121"/>
      <w:bookmarkEnd w:id="122"/>
      <w:bookmarkEnd w:id="123"/>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24" w:name="_Toc2308"/>
      <w:bookmarkStart w:id="125" w:name="_Toc31892"/>
      <w:bookmarkStart w:id="126" w:name="_Toc12666"/>
      <w:bookmarkStart w:id="127" w:name="_Toc9808"/>
      <w:bookmarkStart w:id="128" w:name="_Toc25198"/>
      <w:r>
        <w:rPr>
          <w:rFonts w:hint="eastAsia" w:ascii="仿宋" w:hAnsi="仿宋" w:eastAsia="仿宋" w:cs="仿宋"/>
          <w:b/>
          <w:sz w:val="24"/>
        </w:rPr>
        <w:t>2.16 通知和送达</w:t>
      </w:r>
      <w:bookmarkEnd w:id="124"/>
      <w:bookmarkEnd w:id="125"/>
      <w:bookmarkEnd w:id="126"/>
      <w:bookmarkEnd w:id="127"/>
      <w:bookmarkEnd w:id="128"/>
    </w:p>
    <w:p>
      <w:pPr>
        <w:spacing w:line="560" w:lineRule="exact"/>
        <w:ind w:firstLine="480" w:firstLineChars="200"/>
        <w:rPr>
          <w:rFonts w:hint="eastAsia" w:ascii="仿宋" w:hAnsi="仿宋" w:eastAsia="仿宋" w:cs="仿宋"/>
          <w:sz w:val="24"/>
        </w:rPr>
      </w:pPr>
      <w:bookmarkStart w:id="129" w:name="_Toc18401"/>
      <w:bookmarkStart w:id="130"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9"/>
      <w:bookmarkEnd w:id="130"/>
    </w:p>
    <w:p>
      <w:pPr>
        <w:spacing w:line="560" w:lineRule="exact"/>
        <w:ind w:firstLine="482" w:firstLineChars="200"/>
        <w:outlineLvl w:val="0"/>
        <w:rPr>
          <w:rFonts w:hint="eastAsia" w:ascii="仿宋" w:hAnsi="仿宋" w:eastAsia="仿宋" w:cs="仿宋"/>
          <w:b/>
          <w:sz w:val="24"/>
        </w:rPr>
      </w:pPr>
      <w:bookmarkStart w:id="131" w:name="_Toc5063"/>
      <w:bookmarkStart w:id="132" w:name="_Toc28906"/>
      <w:bookmarkStart w:id="133" w:name="_Toc12254"/>
      <w:bookmarkStart w:id="134" w:name="_Toc20808"/>
      <w:bookmarkStart w:id="135" w:name="_Toc27644"/>
      <w:r>
        <w:rPr>
          <w:rFonts w:hint="eastAsia" w:ascii="仿宋" w:hAnsi="仿宋" w:eastAsia="仿宋" w:cs="仿宋"/>
          <w:b/>
          <w:sz w:val="24"/>
        </w:rPr>
        <w:t>2.17 合同使用的文字和适用的法律</w:t>
      </w:r>
      <w:bookmarkEnd w:id="131"/>
      <w:bookmarkEnd w:id="132"/>
      <w:bookmarkEnd w:id="133"/>
      <w:bookmarkEnd w:id="134"/>
      <w:bookmarkEnd w:id="13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36" w:name="_Toc30599"/>
      <w:bookmarkStart w:id="137" w:name="_Toc4355"/>
      <w:bookmarkStart w:id="138" w:name="_Toc18540"/>
      <w:r>
        <w:rPr>
          <w:rFonts w:hint="eastAsia" w:ascii="仿宋" w:hAnsi="仿宋" w:eastAsia="仿宋" w:cs="仿宋"/>
          <w:b/>
          <w:sz w:val="24"/>
        </w:rPr>
        <w:t>2.18 计量单位</w:t>
      </w:r>
      <w:bookmarkEnd w:id="136"/>
      <w:bookmarkEnd w:id="137"/>
      <w:bookmarkEnd w:id="13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39" w:name="_Toc18567"/>
      <w:bookmarkStart w:id="140" w:name="_Toc259093692"/>
      <w:bookmarkStart w:id="141" w:name="_Toc487900373"/>
      <w:bookmarkStart w:id="142" w:name="_Toc12773"/>
      <w:bookmarkStart w:id="143" w:name="_Toc279701263"/>
      <w:bookmarkStart w:id="144" w:name="_Toc10330"/>
      <w:r>
        <w:rPr>
          <w:rFonts w:hint="eastAsia" w:ascii="仿宋" w:hAnsi="仿宋" w:eastAsia="仿宋" w:cs="仿宋"/>
          <w:b/>
          <w:sz w:val="24"/>
        </w:rPr>
        <w:t>2.19 合同使用的文字和适用的法律</w:t>
      </w:r>
      <w:bookmarkEnd w:id="139"/>
      <w:bookmarkEnd w:id="140"/>
      <w:bookmarkEnd w:id="141"/>
      <w:bookmarkEnd w:id="142"/>
      <w:bookmarkEnd w:id="143"/>
      <w:bookmarkEnd w:id="14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45" w:name="_Toc331685784"/>
      <w:r>
        <w:rPr>
          <w:rFonts w:hint="eastAsia" w:ascii="仿宋" w:hAnsi="仿宋" w:eastAsia="仿宋" w:cs="仿宋"/>
          <w:b/>
          <w:sz w:val="24"/>
        </w:rPr>
        <w:t xml:space="preserve"> </w:t>
      </w:r>
      <w:bookmarkEnd w:id="145"/>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tabs>
          <w:tab w:val="left" w:pos="360"/>
          <w:tab w:val="left" w:pos="540"/>
          <w:tab w:val="left" w:pos="1080"/>
        </w:tabs>
        <w:spacing w:line="560" w:lineRule="exact"/>
        <w:ind w:firstLine="482" w:firstLineChars="200"/>
        <w:rPr>
          <w:rFonts w:hint="eastAsia" w:ascii="仿宋" w:hAnsi="仿宋" w:eastAsia="仿宋" w:cs="仿宋"/>
          <w:b/>
          <w:bCs/>
          <w:sz w:val="24"/>
        </w:rPr>
      </w:pPr>
      <w:r>
        <w:rPr>
          <w:rFonts w:hint="eastAsia" w:ascii="仿宋" w:hAnsi="仿宋" w:eastAsia="仿宋" w:cs="仿宋"/>
          <w:b/>
          <w:bCs/>
          <w:sz w:val="24"/>
        </w:rPr>
        <w:t>本次评标采用</w:t>
      </w:r>
      <w:r>
        <w:rPr>
          <w:rFonts w:hint="eastAsia" w:ascii="仿宋" w:hAnsi="仿宋" w:eastAsia="仿宋" w:cs="仿宋"/>
          <w:b/>
          <w:bCs/>
          <w:sz w:val="24"/>
          <w:lang w:eastAsia="zh-CN"/>
        </w:rPr>
        <w:t>合理</w:t>
      </w:r>
      <w:r>
        <w:rPr>
          <w:rFonts w:hint="eastAsia" w:ascii="仿宋" w:hAnsi="仿宋" w:eastAsia="仿宋" w:cs="仿宋"/>
          <w:b/>
          <w:bCs/>
          <w:sz w:val="24"/>
        </w:rPr>
        <w:t>最低评标价法。</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开标后，评标委员会首先对投标文件进行符合性审查，凡投标文件实质性内容和授权书格式严重不符合有关规定或不响应招标文件要求者，由评标委员会认定作为无效投标予以废除。对投标文件中的疑问，由评标委员会对投标人进行询标，投标人做出的书面答复作为投标文件的补充，但不得对投标文件的实质性内容进行修改。</w:t>
      </w:r>
    </w:p>
    <w:p>
      <w:pPr>
        <w:tabs>
          <w:tab w:val="left" w:pos="360"/>
          <w:tab w:val="left" w:pos="540"/>
          <w:tab w:val="left" w:pos="1080"/>
        </w:tabs>
        <w:spacing w:line="560" w:lineRule="exact"/>
        <w:ind w:firstLine="480" w:firstLineChars="200"/>
        <w:rPr>
          <w:rFonts w:hint="eastAsia" w:ascii="仿宋" w:hAnsi="仿宋" w:eastAsia="仿宋" w:cs="仿宋"/>
          <w:sz w:val="24"/>
          <w:lang w:eastAsia="zh-CN"/>
        </w:rPr>
      </w:pPr>
      <w:r>
        <w:rPr>
          <w:rFonts w:hint="eastAsia" w:ascii="仿宋" w:hAnsi="仿宋" w:eastAsia="仿宋" w:cs="仿宋"/>
          <w:sz w:val="24"/>
        </w:rPr>
        <w:t>最终有效投标人不足3家的，</w:t>
      </w:r>
      <w:r>
        <w:rPr>
          <w:rFonts w:hint="eastAsia" w:ascii="仿宋" w:hAnsi="仿宋" w:eastAsia="仿宋" w:cs="仿宋"/>
          <w:sz w:val="24"/>
          <w:lang w:eastAsia="zh-CN"/>
        </w:rPr>
        <w:t>按馆小型项目采购管理办法执行。</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评标委员会以开标、审标、询标情况为基本依据</w:t>
      </w:r>
      <w:r>
        <w:rPr>
          <w:rFonts w:hint="eastAsia" w:ascii="仿宋" w:hAnsi="仿宋" w:eastAsia="仿宋" w:cs="仿宋"/>
          <w:sz w:val="24"/>
          <w:lang w:eastAsia="zh-CN"/>
        </w:rPr>
        <w:t>中标方式</w:t>
      </w:r>
      <w:r>
        <w:rPr>
          <w:rFonts w:hint="eastAsia" w:ascii="仿宋" w:hAnsi="仿宋" w:eastAsia="仿宋" w:cs="仿宋"/>
          <w:sz w:val="24"/>
        </w:rPr>
        <w:t>，对有效的投标文件进行分析、评议，在所有有效报价中，以最低报价者为第一中标候选人。当最低报价出现并列时，由招标人当场抽签选定第一中标候选人。由招标人按照中标侯选人的排序依法确定中标人。当确定中标的中标侯选人放弃中标，或者因不可抗力提出不能履行合同的，或者因弄虚作假等原因被取消中标资格的，招标人将重新组织招标。</w:t>
      </w:r>
    </w:p>
    <w:p>
      <w:pPr>
        <w:widowControl/>
        <w:adjustRightInd/>
        <w:jc w:val="cente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pStyle w:val="25"/>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24"/>
      <w:r>
        <w:rPr>
          <w:rFonts w:hint="eastAsia" w:ascii="仿宋" w:hAnsi="仿宋" w:eastAsia="仿宋" w:cs="仿宋"/>
          <w:b/>
          <w:sz w:val="36"/>
          <w:szCs w:val="20"/>
        </w:rPr>
        <w:t xml:space="preserve"> </w:t>
      </w:r>
      <w:bookmarkEnd w:id="25"/>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5"/>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pStyle w:val="2"/>
        <w:rPr>
          <w:rFonts w:hint="eastAsia" w:ascii="仿宋" w:hAnsi="仿宋" w:eastAsia="仿宋" w:cs="仿宋"/>
          <w:b/>
          <w:kern w:val="0"/>
          <w:sz w:val="24"/>
        </w:rPr>
      </w:pPr>
    </w:p>
    <w:p>
      <w:pPr>
        <w:pStyle w:val="3"/>
        <w:rPr>
          <w:rFonts w:hint="eastAsia" w:ascii="仿宋" w:hAnsi="仿宋" w:eastAsia="仿宋" w:cs="仿宋"/>
          <w:b/>
          <w:kern w:val="0"/>
          <w:sz w:val="24"/>
        </w:rPr>
      </w:pPr>
    </w:p>
    <w:p>
      <w:pPr>
        <w:rPr>
          <w:rFonts w:hint="eastAsia"/>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2"/>
        <w:jc w:val="center"/>
        <w:rPr>
          <w:rFonts w:hint="eastAsia" w:ascii="仿宋" w:hAnsi="仿宋" w:eastAsia="仿宋" w:cs="仿宋"/>
          <w:b/>
          <w:bCs/>
          <w:sz w:val="24"/>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2"/>
        <w:rPr>
          <w:rFonts w:hint="eastAsia"/>
          <w:lang w:eastAsia="zh-CN"/>
        </w:rPr>
      </w:pPr>
    </w:p>
    <w:p>
      <w:pPr>
        <w:rPr>
          <w:rFonts w:hint="eastAsia" w:ascii="仿宋_GB2312" w:hAnsi="仿宋_GB2312" w:eastAsia="仿宋_GB2312" w:cs="仿宋_GB2312"/>
          <w:b/>
          <w:sz w:val="30"/>
          <w:szCs w:val="30"/>
          <w:lang w:eastAsia="zh-CN"/>
        </w:rPr>
      </w:pPr>
      <w:r>
        <w:rPr>
          <w:rFonts w:hint="eastAsia" w:ascii="仿宋_GB2312" w:hAnsi="仿宋_GB2312" w:eastAsia="仿宋_GB2312" w:cs="仿宋_GB2312"/>
          <w:b/>
          <w:sz w:val="30"/>
          <w:szCs w:val="30"/>
          <w:lang w:eastAsia="zh-CN"/>
        </w:rPr>
        <w:br w:type="page"/>
      </w: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2"/>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both"/>
        <w:rPr>
          <w:rFonts w:hint="eastAsia"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2"/>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
        <w:rPr>
          <w:rFonts w:hint="eastAsia"/>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5"/>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ascii="仿宋" w:hAnsi="仿宋" w:eastAsia="仿宋" w:cs="仿宋"/>
          <w:b/>
          <w:color w:val="auto"/>
          <w:sz w:val="24"/>
        </w:rPr>
      </w:pP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lang w:eastAsia="zh-CN"/>
        </w:rPr>
      </w:pP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46" w:name="_Hlk101131882"/>
      <w:r>
        <w:rPr>
          <w:rFonts w:hint="eastAsia" w:ascii="仿宋" w:hAnsi="仿宋" w:eastAsia="仿宋" w:cs="仿宋"/>
          <w:kern w:val="0"/>
          <w:sz w:val="24"/>
          <w:u w:val="single"/>
        </w:rPr>
        <w:t>联合体成员X,……</w:t>
      </w:r>
      <w:bookmarkEnd w:id="14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4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47"/>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4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48"/>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49" w:name="OLE_LINK13"/>
      <w:bookmarkStart w:id="150" w:name="OLE_LINK14"/>
      <w:r>
        <w:rPr>
          <w:rFonts w:hint="eastAsia" w:ascii="仿宋" w:hAnsi="仿宋" w:eastAsia="仿宋" w:cs="仿宋"/>
          <w:b/>
          <w:spacing w:val="6"/>
          <w:sz w:val="32"/>
          <w:szCs w:val="32"/>
        </w:rPr>
        <w:t>残疾人福利性单位声明函</w:t>
      </w:r>
    </w:p>
    <w:bookmarkEnd w:id="149"/>
    <w:bookmarkEnd w:id="150"/>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5"/>
        <w:rPr>
          <w:rFonts w:hint="eastAsia" w:ascii="仿宋" w:hAnsi="仿宋" w:eastAsia="仿宋" w:cs="仿宋"/>
        </w:rPr>
      </w:pP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5"/>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wordWrap w:val="0"/>
      <w:jc w:val="right"/>
      <w:rPr>
        <w:rFonts w:hint="default" w:ascii="仿宋_GB2312" w:eastAsia="仿宋_GB2312"/>
        <w:b w:val="0"/>
        <w:i/>
        <w:sz w:val="18"/>
        <w:u w:val="single"/>
        <w:lang w:val="en-US"/>
      </w:rPr>
    </w:pPr>
    <w:r>
      <w:rPr>
        <w:rFonts w:hint="eastAsia" w:ascii="仿宋" w:hAnsi="仿宋" w:eastAsia="仿宋" w:cs="仿宋"/>
        <w:lang w:eastAsia="zh-CN"/>
      </w:rPr>
      <w:t>民国文献书库七氟丙烷气体充装</w:t>
    </w:r>
    <w:r>
      <w:rPr>
        <w:rFonts w:hint="eastAsia" w:ascii="仿宋" w:hAnsi="仿宋" w:eastAsia="仿宋" w:cs="仿宋"/>
        <w:lang w:val="en-US" w:eastAsia="zh-CN"/>
      </w:rPr>
      <w:t xml:space="preserve">                                   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 xml:space="preserve">03  </w:t>
    </w:r>
  </w:p>
  <w:p>
    <w:pPr>
      <w:pStyle w:val="43"/>
      <w:pBdr>
        <w:bottom w:val="none" w:color="auto" w:sz="0" w:space="1"/>
      </w:pBdr>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pBdr>
        <w:bottom w:val="none" w:color="auto" w:sz="0" w:space="0"/>
      </w:pBdr>
      <w:tabs>
        <w:tab w:val="clear" w:pos="4153"/>
        <w:tab w:val="clear" w:pos="8306"/>
      </w:tabs>
      <w:ind w:firstLine="519" w:firstLineChars="0"/>
      <w:jc w:val="both"/>
    </w:pPr>
  </w:p>
  <w:p>
    <w:pPr>
      <w:pStyle w:val="43"/>
      <w:pBdr>
        <w:bottom w:val="none" w:color="auto" w:sz="0" w:space="0"/>
      </w:pBdr>
      <w:tabs>
        <w:tab w:val="clear" w:pos="4153"/>
        <w:tab w:val="clear" w:pos="8306"/>
      </w:tabs>
      <w:ind w:firstLine="519" w:firstLineChars="0"/>
      <w:jc w:val="both"/>
    </w:pP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pBdr>
        <w:bottom w:val="none" w:color="auto" w:sz="0" w:space="0"/>
      </w:pBdr>
      <w:tabs>
        <w:tab w:val="clear" w:pos="4153"/>
        <w:tab w:val="clear" w:pos="8306"/>
      </w:tabs>
      <w:ind w:firstLine="519"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38E92"/>
    <w:multiLevelType w:val="singleLevel"/>
    <w:tmpl w:val="C5638E92"/>
    <w:lvl w:ilvl="0" w:tentative="0">
      <w:start w:val="6"/>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7ED4"/>
    <w:rsid w:val="00B34AC1"/>
    <w:rsid w:val="00E05779"/>
    <w:rsid w:val="02815AD4"/>
    <w:rsid w:val="02AB4E2D"/>
    <w:rsid w:val="031F3CB8"/>
    <w:rsid w:val="036B54F7"/>
    <w:rsid w:val="043238C1"/>
    <w:rsid w:val="05E07992"/>
    <w:rsid w:val="060469E3"/>
    <w:rsid w:val="06384F4C"/>
    <w:rsid w:val="06560322"/>
    <w:rsid w:val="06565CEC"/>
    <w:rsid w:val="06E707EB"/>
    <w:rsid w:val="074B6AD9"/>
    <w:rsid w:val="08624967"/>
    <w:rsid w:val="088F0800"/>
    <w:rsid w:val="089B5E99"/>
    <w:rsid w:val="08DD4097"/>
    <w:rsid w:val="09E0316B"/>
    <w:rsid w:val="0A7C7A9F"/>
    <w:rsid w:val="0A835537"/>
    <w:rsid w:val="0AA92EE7"/>
    <w:rsid w:val="0ACE0216"/>
    <w:rsid w:val="0B4A3702"/>
    <w:rsid w:val="0B55023E"/>
    <w:rsid w:val="0B8D2D06"/>
    <w:rsid w:val="0B9C4EC3"/>
    <w:rsid w:val="0BF50639"/>
    <w:rsid w:val="0C33540E"/>
    <w:rsid w:val="0CAD2216"/>
    <w:rsid w:val="0D5C1C70"/>
    <w:rsid w:val="0E0A0C1B"/>
    <w:rsid w:val="0E3A689B"/>
    <w:rsid w:val="0F096B8F"/>
    <w:rsid w:val="0F192FCF"/>
    <w:rsid w:val="0F63063F"/>
    <w:rsid w:val="0FB1096A"/>
    <w:rsid w:val="10052781"/>
    <w:rsid w:val="102A149F"/>
    <w:rsid w:val="10745298"/>
    <w:rsid w:val="107C665E"/>
    <w:rsid w:val="112A3086"/>
    <w:rsid w:val="1256686B"/>
    <w:rsid w:val="129545EE"/>
    <w:rsid w:val="12BC24AE"/>
    <w:rsid w:val="12F2345B"/>
    <w:rsid w:val="13E65C98"/>
    <w:rsid w:val="13FC3DA2"/>
    <w:rsid w:val="148A7BD3"/>
    <w:rsid w:val="15101156"/>
    <w:rsid w:val="154F1BF0"/>
    <w:rsid w:val="15A86D39"/>
    <w:rsid w:val="15D14C0E"/>
    <w:rsid w:val="162A5A51"/>
    <w:rsid w:val="1644025A"/>
    <w:rsid w:val="167E1C67"/>
    <w:rsid w:val="16BF06D2"/>
    <w:rsid w:val="17EC06BE"/>
    <w:rsid w:val="17F85E39"/>
    <w:rsid w:val="181071DA"/>
    <w:rsid w:val="181D3702"/>
    <w:rsid w:val="18C21C04"/>
    <w:rsid w:val="18E60774"/>
    <w:rsid w:val="193B2763"/>
    <w:rsid w:val="19D46C8A"/>
    <w:rsid w:val="1A1F4D3A"/>
    <w:rsid w:val="1A7762D9"/>
    <w:rsid w:val="1CB048A3"/>
    <w:rsid w:val="1CCB103A"/>
    <w:rsid w:val="1D2F1C3B"/>
    <w:rsid w:val="1EE557B2"/>
    <w:rsid w:val="203C66B1"/>
    <w:rsid w:val="21792511"/>
    <w:rsid w:val="21CB5FDB"/>
    <w:rsid w:val="22437405"/>
    <w:rsid w:val="224D36DF"/>
    <w:rsid w:val="225760D0"/>
    <w:rsid w:val="23187827"/>
    <w:rsid w:val="23532DAB"/>
    <w:rsid w:val="23701B1D"/>
    <w:rsid w:val="239A2562"/>
    <w:rsid w:val="23CC091D"/>
    <w:rsid w:val="24C72787"/>
    <w:rsid w:val="258B35FD"/>
    <w:rsid w:val="26030452"/>
    <w:rsid w:val="262E2112"/>
    <w:rsid w:val="267F4C59"/>
    <w:rsid w:val="2690694E"/>
    <w:rsid w:val="26CB27B5"/>
    <w:rsid w:val="275F1500"/>
    <w:rsid w:val="28066762"/>
    <w:rsid w:val="28F15CCD"/>
    <w:rsid w:val="28F801F1"/>
    <w:rsid w:val="294C7FDA"/>
    <w:rsid w:val="29D05B5F"/>
    <w:rsid w:val="2A200DBA"/>
    <w:rsid w:val="2A44467F"/>
    <w:rsid w:val="2AF84A3A"/>
    <w:rsid w:val="2B15128D"/>
    <w:rsid w:val="2B9B53E9"/>
    <w:rsid w:val="2BAB13A7"/>
    <w:rsid w:val="2BBA7E1C"/>
    <w:rsid w:val="2C25089E"/>
    <w:rsid w:val="2C6E16E1"/>
    <w:rsid w:val="2CFF26A9"/>
    <w:rsid w:val="2D960EC3"/>
    <w:rsid w:val="2E177FAA"/>
    <w:rsid w:val="30005CE3"/>
    <w:rsid w:val="303F1134"/>
    <w:rsid w:val="308A2DF5"/>
    <w:rsid w:val="30CD01D9"/>
    <w:rsid w:val="31847309"/>
    <w:rsid w:val="32645019"/>
    <w:rsid w:val="338A4697"/>
    <w:rsid w:val="33BD08F7"/>
    <w:rsid w:val="33DC5117"/>
    <w:rsid w:val="343D66DD"/>
    <w:rsid w:val="34B963A8"/>
    <w:rsid w:val="35867B0D"/>
    <w:rsid w:val="365F6463"/>
    <w:rsid w:val="367219E1"/>
    <w:rsid w:val="36750368"/>
    <w:rsid w:val="36917B74"/>
    <w:rsid w:val="382D2D4A"/>
    <w:rsid w:val="390F2E62"/>
    <w:rsid w:val="392673DE"/>
    <w:rsid w:val="39390455"/>
    <w:rsid w:val="393D6B70"/>
    <w:rsid w:val="39610CB2"/>
    <w:rsid w:val="3A460C84"/>
    <w:rsid w:val="3A934C55"/>
    <w:rsid w:val="3A9F4707"/>
    <w:rsid w:val="3B043B70"/>
    <w:rsid w:val="3C0C5DCE"/>
    <w:rsid w:val="3C1F5285"/>
    <w:rsid w:val="3C945490"/>
    <w:rsid w:val="3CBB79CB"/>
    <w:rsid w:val="3D167E23"/>
    <w:rsid w:val="3E3D4345"/>
    <w:rsid w:val="3E6B05F4"/>
    <w:rsid w:val="3F195861"/>
    <w:rsid w:val="3F586081"/>
    <w:rsid w:val="3F61166F"/>
    <w:rsid w:val="41792F90"/>
    <w:rsid w:val="427E60E8"/>
    <w:rsid w:val="42961331"/>
    <w:rsid w:val="42CB04D6"/>
    <w:rsid w:val="42D028BF"/>
    <w:rsid w:val="43192362"/>
    <w:rsid w:val="43421087"/>
    <w:rsid w:val="4413383F"/>
    <w:rsid w:val="443A0736"/>
    <w:rsid w:val="445A604F"/>
    <w:rsid w:val="446B5FEC"/>
    <w:rsid w:val="447A35CE"/>
    <w:rsid w:val="44A745C7"/>
    <w:rsid w:val="44AA2374"/>
    <w:rsid w:val="46152211"/>
    <w:rsid w:val="462A7954"/>
    <w:rsid w:val="466173B0"/>
    <w:rsid w:val="46624D38"/>
    <w:rsid w:val="46721E38"/>
    <w:rsid w:val="46EE4B79"/>
    <w:rsid w:val="470E4C59"/>
    <w:rsid w:val="477A55E5"/>
    <w:rsid w:val="47ED337C"/>
    <w:rsid w:val="48076A96"/>
    <w:rsid w:val="488F2765"/>
    <w:rsid w:val="48F070DD"/>
    <w:rsid w:val="491C64D2"/>
    <w:rsid w:val="4923332F"/>
    <w:rsid w:val="494A0096"/>
    <w:rsid w:val="49591570"/>
    <w:rsid w:val="4AC313DF"/>
    <w:rsid w:val="4AEB32CA"/>
    <w:rsid w:val="4B805EB3"/>
    <w:rsid w:val="4B886692"/>
    <w:rsid w:val="4C651075"/>
    <w:rsid w:val="4C9B4F9A"/>
    <w:rsid w:val="4CA55F7D"/>
    <w:rsid w:val="4EE31C09"/>
    <w:rsid w:val="4F4B3D85"/>
    <w:rsid w:val="500071E6"/>
    <w:rsid w:val="50086D20"/>
    <w:rsid w:val="503C2B0D"/>
    <w:rsid w:val="521F14E7"/>
    <w:rsid w:val="523A3FF2"/>
    <w:rsid w:val="538032B8"/>
    <w:rsid w:val="540E691C"/>
    <w:rsid w:val="545D2521"/>
    <w:rsid w:val="551D7105"/>
    <w:rsid w:val="551E0A82"/>
    <w:rsid w:val="552C7E16"/>
    <w:rsid w:val="56C002C2"/>
    <w:rsid w:val="56E34F3D"/>
    <w:rsid w:val="575869E0"/>
    <w:rsid w:val="59CE6881"/>
    <w:rsid w:val="5A863E45"/>
    <w:rsid w:val="5AEF594E"/>
    <w:rsid w:val="5B1B1D3C"/>
    <w:rsid w:val="5BC949EC"/>
    <w:rsid w:val="5BE5628D"/>
    <w:rsid w:val="5BF879AF"/>
    <w:rsid w:val="5C0C1797"/>
    <w:rsid w:val="5C557D8C"/>
    <w:rsid w:val="5C574FFB"/>
    <w:rsid w:val="5C75455C"/>
    <w:rsid w:val="5C8344A1"/>
    <w:rsid w:val="5CC30518"/>
    <w:rsid w:val="5CCC7A2A"/>
    <w:rsid w:val="5D7768A3"/>
    <w:rsid w:val="5D807BD2"/>
    <w:rsid w:val="5DEF31C2"/>
    <w:rsid w:val="5E7C2B9F"/>
    <w:rsid w:val="5EB97A2D"/>
    <w:rsid w:val="5EEC0DA0"/>
    <w:rsid w:val="5F0B492C"/>
    <w:rsid w:val="5F561B6F"/>
    <w:rsid w:val="5F57E5CA"/>
    <w:rsid w:val="5F91484C"/>
    <w:rsid w:val="5FC0441D"/>
    <w:rsid w:val="5FE42CD6"/>
    <w:rsid w:val="6008080B"/>
    <w:rsid w:val="603E226F"/>
    <w:rsid w:val="60722A9E"/>
    <w:rsid w:val="609064BC"/>
    <w:rsid w:val="60B844EB"/>
    <w:rsid w:val="611A7F96"/>
    <w:rsid w:val="62377DE6"/>
    <w:rsid w:val="62383EC8"/>
    <w:rsid w:val="62417B60"/>
    <w:rsid w:val="629B2349"/>
    <w:rsid w:val="63436EDD"/>
    <w:rsid w:val="63DC37B9"/>
    <w:rsid w:val="64304B27"/>
    <w:rsid w:val="66444937"/>
    <w:rsid w:val="669C35D3"/>
    <w:rsid w:val="669F1055"/>
    <w:rsid w:val="66BD33A8"/>
    <w:rsid w:val="66C77DE7"/>
    <w:rsid w:val="67810865"/>
    <w:rsid w:val="67B56ABF"/>
    <w:rsid w:val="68CE279E"/>
    <w:rsid w:val="69457DCF"/>
    <w:rsid w:val="694823E4"/>
    <w:rsid w:val="6A141054"/>
    <w:rsid w:val="6B4A74D8"/>
    <w:rsid w:val="6BA01E5C"/>
    <w:rsid w:val="6BE01C30"/>
    <w:rsid w:val="6CC7793D"/>
    <w:rsid w:val="6D621025"/>
    <w:rsid w:val="6D88253E"/>
    <w:rsid w:val="6DA2466F"/>
    <w:rsid w:val="6DFD77D1"/>
    <w:rsid w:val="6E467653"/>
    <w:rsid w:val="6EC61B4C"/>
    <w:rsid w:val="6FB06F42"/>
    <w:rsid w:val="6FC37AD4"/>
    <w:rsid w:val="6FE87B6F"/>
    <w:rsid w:val="720A5D89"/>
    <w:rsid w:val="73363048"/>
    <w:rsid w:val="73634787"/>
    <w:rsid w:val="738607CE"/>
    <w:rsid w:val="73FF5DD0"/>
    <w:rsid w:val="746740C1"/>
    <w:rsid w:val="7475725D"/>
    <w:rsid w:val="74943B51"/>
    <w:rsid w:val="759B4875"/>
    <w:rsid w:val="75AD7471"/>
    <w:rsid w:val="770B31ED"/>
    <w:rsid w:val="78AD1F79"/>
    <w:rsid w:val="79325856"/>
    <w:rsid w:val="79607F20"/>
    <w:rsid w:val="79D57C9C"/>
    <w:rsid w:val="7A1B65C4"/>
    <w:rsid w:val="7AB227BF"/>
    <w:rsid w:val="7B025FF0"/>
    <w:rsid w:val="7B4753B2"/>
    <w:rsid w:val="7C2C0D2B"/>
    <w:rsid w:val="7C58771B"/>
    <w:rsid w:val="7D026197"/>
    <w:rsid w:val="7D9E5899"/>
    <w:rsid w:val="7DE2525B"/>
    <w:rsid w:val="7DFF3A1B"/>
    <w:rsid w:val="7E8941D0"/>
    <w:rsid w:val="7EAA08AA"/>
    <w:rsid w:val="7EAA31DA"/>
    <w:rsid w:val="7F0D32F4"/>
    <w:rsid w:val="7F6969A4"/>
    <w:rsid w:val="7FCE9F2A"/>
    <w:rsid w:val="7FED736C"/>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Body Text Indent"/>
    <w:basedOn w:val="1"/>
    <w:link w:val="263"/>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7"/>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8"/>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7"/>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9"/>
    <w:qFormat/>
    <w:uiPriority w:val="0"/>
    <w:rPr>
      <w:rFonts w:ascii="黑体" w:hAnsi="Courier New" w:eastAsia="黑体"/>
    </w:rPr>
  </w:style>
  <w:style w:type="character" w:customStyle="1" w:styleId="300">
    <w:name w:val="正文文本 2 Char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1</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2023-08-11T08:57:06Z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