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adjustRightInd/>
        <w:spacing w:line="360" w:lineRule="auto"/>
        <w:jc w:val="center"/>
        <w:rPr>
          <w:rFonts w:hint="eastAsia" w:ascii="仿宋" w:hAnsi="仿宋" w:eastAsia="仿宋" w:cs="仿宋"/>
          <w:b/>
          <w:bCs/>
          <w:color w:val="auto"/>
          <w:sz w:val="54"/>
          <w:szCs w:val="54"/>
          <w:lang w:eastAsia="zh-CN"/>
        </w:rPr>
      </w:pPr>
      <w:r>
        <w:rPr>
          <w:rFonts w:hint="eastAsia" w:ascii="仿宋" w:hAnsi="仿宋" w:eastAsia="仿宋" w:cs="仿宋"/>
          <w:b/>
          <w:bCs/>
          <w:color w:val="auto"/>
          <w:sz w:val="54"/>
          <w:szCs w:val="54"/>
          <w:lang w:eastAsia="zh-CN"/>
        </w:rPr>
        <w:t>2024年5-12月《信息与参考》</w:t>
      </w:r>
    </w:p>
    <w:p>
      <w:pPr>
        <w:adjustRightInd/>
        <w:spacing w:line="360" w:lineRule="auto"/>
        <w:jc w:val="center"/>
        <w:rPr>
          <w:rFonts w:hint="eastAsia" w:ascii="仿宋" w:hAnsi="仿宋" w:eastAsia="仿宋" w:cs="仿宋"/>
          <w:b/>
          <w:bCs/>
          <w:color w:val="auto"/>
          <w:sz w:val="54"/>
          <w:szCs w:val="54"/>
          <w:lang w:eastAsia="zh-CN"/>
        </w:rPr>
      </w:pPr>
      <w:r>
        <w:rPr>
          <w:rFonts w:hint="eastAsia" w:ascii="仿宋" w:hAnsi="仿宋" w:eastAsia="仿宋" w:cs="仿宋"/>
          <w:b/>
          <w:bCs/>
          <w:color w:val="auto"/>
          <w:sz w:val="54"/>
          <w:szCs w:val="54"/>
          <w:lang w:eastAsia="zh-CN"/>
        </w:rPr>
        <w:t>等刊物印刷制作</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spacing w:line="360" w:lineRule="auto"/>
        <w:jc w:val="both"/>
        <w:rPr>
          <w:rFonts w:hint="eastAsia"/>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rPr>
      </w:pPr>
    </w:p>
    <w:p>
      <w:pPr>
        <w:jc w:val="center"/>
        <w:rPr>
          <w:rFonts w:hint="eastAsia" w:ascii="仿宋" w:hAnsi="仿宋" w:eastAsia="仿宋" w:cs="仿宋"/>
          <w:b/>
          <w:sz w:val="28"/>
          <w:szCs w:val="28"/>
        </w:rPr>
      </w:pPr>
    </w:p>
    <w:p>
      <w:pPr>
        <w:jc w:val="center"/>
        <w:rPr>
          <w:rFonts w:hint="default" w:ascii="宋体" w:hAnsi="宋体" w:cs="Times New Roman"/>
          <w:b/>
          <w:color w:val="000000"/>
          <w:sz w:val="32"/>
          <w:szCs w:val="32"/>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w:t>
      </w:r>
      <w:r>
        <w:rPr>
          <w:rFonts w:hint="eastAsia" w:ascii="宋体" w:hAnsi="宋体" w:eastAsia="宋体" w:cs="Times New Roman"/>
          <w:b/>
          <w:color w:val="000000"/>
          <w:sz w:val="32"/>
          <w:szCs w:val="32"/>
        </w:rPr>
        <w:t>S</w:t>
      </w:r>
      <w:r>
        <w:rPr>
          <w:rFonts w:ascii="宋体" w:hAnsi="宋体" w:eastAsia="宋体" w:cs="Times New Roman"/>
          <w:b/>
          <w:color w:val="000000"/>
          <w:sz w:val="32"/>
          <w:szCs w:val="32"/>
        </w:rPr>
        <w:t>XTSG-ZB-202</w:t>
      </w:r>
      <w:r>
        <w:rPr>
          <w:rFonts w:hint="eastAsia" w:ascii="宋体" w:hAnsi="宋体" w:cs="Times New Roman"/>
          <w:b/>
          <w:color w:val="000000"/>
          <w:sz w:val="32"/>
          <w:szCs w:val="32"/>
          <w:lang w:val="en-US" w:eastAsia="zh-CN"/>
        </w:rPr>
        <w:t>4</w:t>
      </w:r>
      <w:r>
        <w:rPr>
          <w:rFonts w:ascii="宋体" w:hAnsi="宋体" w:eastAsia="宋体" w:cs="Times New Roman"/>
          <w:b/>
          <w:color w:val="000000"/>
          <w:sz w:val="32"/>
          <w:szCs w:val="32"/>
        </w:rPr>
        <w:t>-</w:t>
      </w:r>
      <w:r>
        <w:rPr>
          <w:rFonts w:hint="eastAsia" w:ascii="宋体" w:hAnsi="宋体" w:eastAsia="宋体" w:cs="Times New Roman"/>
          <w:b/>
          <w:color w:val="000000"/>
          <w:sz w:val="32"/>
          <w:szCs w:val="32"/>
          <w:lang w:val="en-US" w:eastAsia="zh-CN"/>
        </w:rPr>
        <w:t>0</w:t>
      </w:r>
      <w:r>
        <w:rPr>
          <w:rFonts w:hint="eastAsia" w:ascii="宋体" w:hAnsi="宋体" w:cs="Times New Roman"/>
          <w:b/>
          <w:color w:val="000000"/>
          <w:sz w:val="32"/>
          <w:szCs w:val="32"/>
          <w:lang w:val="en-US" w:eastAsia="zh-CN"/>
        </w:rPr>
        <w:t>3</w:t>
      </w:r>
    </w:p>
    <w:p>
      <w:pPr>
        <w:pStyle w:val="2"/>
        <w:rPr>
          <w:rFonts w:hint="eastAsia" w:ascii="宋体" w:hAnsi="宋体" w:cs="Times New Roman"/>
          <w:b/>
          <w:color w:val="000000"/>
          <w:sz w:val="32"/>
          <w:szCs w:val="32"/>
          <w:lang w:val="en-US" w:eastAsia="zh-CN"/>
        </w:rPr>
      </w:pPr>
    </w:p>
    <w:p>
      <w:pPr>
        <w:pStyle w:val="2"/>
        <w:rPr>
          <w:rFonts w:hint="eastAsia" w:ascii="宋体" w:hAnsi="宋体" w:cs="Times New Roman"/>
          <w:b/>
          <w:color w:val="000000"/>
          <w:sz w:val="32"/>
          <w:szCs w:val="32"/>
          <w:lang w:val="en-US" w:eastAsia="zh-CN"/>
        </w:rPr>
      </w:pPr>
    </w:p>
    <w:p>
      <w:pPr>
        <w:rPr>
          <w:rFonts w:hint="eastAsia" w:ascii="宋体" w:hAnsi="宋体" w:cs="Times New Roman"/>
          <w:b/>
          <w:color w:val="000000"/>
          <w:sz w:val="32"/>
          <w:szCs w:val="32"/>
          <w:lang w:val="en-US" w:eastAsia="zh-CN"/>
        </w:rPr>
      </w:pPr>
    </w:p>
    <w:p>
      <w:pPr>
        <w:pStyle w:val="2"/>
        <w:rPr>
          <w:rFonts w:hint="eastAsia"/>
          <w:lang w:eastAsia="zh-CN"/>
        </w:rPr>
      </w:pPr>
    </w:p>
    <w:p>
      <w:pPr>
        <w:pStyle w:val="2"/>
        <w:rPr>
          <w:rFonts w:hint="eastAsia"/>
        </w:rPr>
      </w:pPr>
    </w:p>
    <w:tbl>
      <w:tblPr>
        <w:tblStyle w:val="64"/>
        <w:tblW w:w="7801" w:type="dxa"/>
        <w:jc w:val="center"/>
        <w:tblLayout w:type="fixed"/>
        <w:tblCellMar>
          <w:top w:w="0" w:type="dxa"/>
          <w:left w:w="108" w:type="dxa"/>
          <w:bottom w:w="0" w:type="dxa"/>
          <w:right w:w="108" w:type="dxa"/>
        </w:tblCellMar>
      </w:tblPr>
      <w:tblGrid>
        <w:gridCol w:w="2114"/>
        <w:gridCol w:w="5687"/>
      </w:tblGrid>
      <w:tr>
        <w:trPr>
          <w:trHeight w:val="443" w:hRule="atLeast"/>
          <w:jc w:val="center"/>
        </w:trPr>
        <w:tc>
          <w:tcPr>
            <w:tcW w:w="2114"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687" w:type="dxa"/>
            <w:vAlign w:val="center"/>
          </w:tcPr>
          <w:p>
            <w:pPr>
              <w:spacing w:line="320" w:lineRule="exact"/>
              <w:ind w:firstLine="1120" w:firstLineChars="400"/>
              <w:jc w:val="lef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绍兴图书馆</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五 </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fmt="decimal"/>
          <w:cols w:space="720" w:num="1"/>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sz w:val="24"/>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w:t>
      </w:r>
      <w:r>
        <w:rPr>
          <w:rFonts w:hint="eastAsia" w:ascii="仿宋" w:hAnsi="仿宋" w:eastAsia="仿宋" w:cs="仿宋"/>
          <w:b/>
          <w:bCs/>
          <w:color w:val="auto"/>
          <w:sz w:val="24"/>
          <w:u w:val="single"/>
          <w:lang w:val="en-US" w:eastAsia="zh-CN"/>
        </w:rPr>
        <w:t>2024年5-12月《信息与参考》等刊物印刷制作</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招标项目的潜在投标人</w:t>
      </w:r>
      <w:r>
        <w:rPr>
          <w:rFonts w:hint="eastAsia" w:ascii="仿宋" w:hAnsi="仿宋" w:eastAsia="仿宋" w:cs="仿宋"/>
          <w:color w:val="auto"/>
          <w:sz w:val="24"/>
          <w:lang w:eastAsia="zh-CN"/>
        </w:rPr>
        <w:t>可</w:t>
      </w:r>
      <w:r>
        <w:rPr>
          <w:rFonts w:hint="eastAsia" w:ascii="仿宋" w:hAnsi="仿宋" w:eastAsia="仿宋" w:cs="仿宋"/>
          <w:color w:val="auto"/>
          <w:sz w:val="24"/>
        </w:rPr>
        <w:t>在</w:t>
      </w:r>
      <w:r>
        <w:rPr>
          <w:rFonts w:hint="eastAsia" w:ascii="仿宋" w:hAnsi="仿宋" w:eastAsia="仿宋" w:cs="仿宋"/>
          <w:i w:val="0"/>
          <w:iCs w:val="0"/>
          <w:color w:val="auto"/>
          <w:sz w:val="24"/>
          <w:lang w:eastAsia="zh-CN"/>
        </w:rPr>
        <w:t>绍兴图书馆网站</w:t>
      </w:r>
      <w:r>
        <w:rPr>
          <w:rFonts w:hint="eastAsia" w:ascii="仿宋" w:hAnsi="仿宋" w:eastAsia="仿宋" w:cs="仿宋"/>
          <w:i w:val="0"/>
          <w:iCs w:val="0"/>
          <w:color w:val="auto"/>
          <w:sz w:val="24"/>
        </w:rPr>
        <w:t>（</w:t>
      </w:r>
      <w:r>
        <w:rPr>
          <w:rFonts w:hint="eastAsia" w:ascii="仿宋" w:hAnsi="仿宋" w:eastAsia="仿宋" w:cs="仿宋"/>
          <w:i w:val="0"/>
          <w:iCs w:val="0"/>
          <w:snapToGrid/>
          <w:color w:val="auto"/>
          <w:kern w:val="2"/>
          <w:sz w:val="24"/>
          <w:szCs w:val="24"/>
          <w:u w:val="none"/>
        </w:rPr>
        <w:t>www.</w:t>
      </w:r>
      <w:r>
        <w:rPr>
          <w:rFonts w:hint="eastAsia" w:ascii="仿宋" w:hAnsi="仿宋" w:eastAsia="仿宋" w:cs="仿宋"/>
          <w:i w:val="0"/>
          <w:iCs w:val="0"/>
          <w:snapToGrid/>
          <w:color w:val="auto"/>
          <w:kern w:val="2"/>
          <w:sz w:val="24"/>
          <w:szCs w:val="24"/>
          <w:u w:val="none"/>
          <w:lang w:val="en-US" w:eastAsia="zh-CN"/>
        </w:rPr>
        <w:t>sxlib.com</w:t>
      </w:r>
      <w:r>
        <w:rPr>
          <w:rFonts w:hint="eastAsia" w:ascii="仿宋" w:hAnsi="仿宋" w:eastAsia="仿宋" w:cs="仿宋"/>
          <w:i w:val="0"/>
          <w:iCs w:val="0"/>
          <w:snapToGrid/>
          <w:color w:val="auto"/>
          <w:kern w:val="2"/>
          <w:sz w:val="24"/>
          <w:szCs w:val="24"/>
          <w:u w:val="none"/>
        </w:rPr>
        <w:t>）获取（下载）招标文件</w:t>
      </w:r>
      <w:r>
        <w:rPr>
          <w:rFonts w:hint="eastAsia" w:ascii="仿宋" w:hAnsi="仿宋" w:eastAsia="仿宋" w:cs="仿宋"/>
          <w:i w:val="0"/>
          <w:iCs w:val="0"/>
          <w:snapToGrid/>
          <w:color w:val="auto"/>
          <w:kern w:val="2"/>
          <w:sz w:val="24"/>
          <w:szCs w:val="24"/>
          <w:u w:val="none"/>
          <w:lang w:eastAsia="zh-CN"/>
        </w:rPr>
        <w:t>。将</w:t>
      </w:r>
      <w:r>
        <w:rPr>
          <w:rFonts w:hint="eastAsia" w:ascii="仿宋" w:hAnsi="仿宋" w:eastAsia="仿宋" w:cs="仿宋"/>
          <w:color w:val="auto"/>
          <w:sz w:val="24"/>
        </w:rPr>
        <w:t>报名资料</w:t>
      </w:r>
      <w:r>
        <w:rPr>
          <w:rFonts w:hint="eastAsia" w:ascii="仿宋" w:hAnsi="仿宋" w:eastAsia="仿宋" w:cs="仿宋"/>
          <w:color w:val="auto"/>
          <w:sz w:val="24"/>
          <w:lang w:eastAsia="zh-CN"/>
        </w:rPr>
        <w:t>“</w:t>
      </w:r>
      <w:r>
        <w:rPr>
          <w:rFonts w:hint="eastAsia" w:ascii="仿宋" w:hAnsi="仿宋" w:eastAsia="仿宋" w:cs="仿宋"/>
          <w:color w:val="auto"/>
          <w:sz w:val="24"/>
        </w:rPr>
        <w:t>（1）授权委托书（2）企业营业执照（3）报名者身份证及联系电话</w:t>
      </w:r>
      <w:r>
        <w:rPr>
          <w:rFonts w:hint="eastAsia" w:ascii="仿宋" w:hAnsi="仿宋" w:eastAsia="仿宋" w:cs="仿宋"/>
          <w:color w:val="auto"/>
          <w:sz w:val="24"/>
          <w:lang w:eastAsia="zh-CN"/>
        </w:rPr>
        <w:t>”</w:t>
      </w:r>
      <w:r>
        <w:rPr>
          <w:rFonts w:hint="eastAsia" w:ascii="仿宋" w:hAnsi="仿宋" w:eastAsia="仿宋" w:cs="仿宋"/>
          <w:color w:val="auto"/>
          <w:sz w:val="24"/>
        </w:rPr>
        <w:t>加盖公章后扫描件发送至邮箱：</w:t>
      </w:r>
      <w:r>
        <w:rPr>
          <w:rFonts w:hint="eastAsia" w:ascii="仿宋" w:hAnsi="仿宋" w:eastAsia="仿宋" w:cs="仿宋"/>
          <w:color w:val="auto"/>
          <w:sz w:val="24"/>
          <w:lang w:val="en-US" w:eastAsia="zh-CN"/>
        </w:rPr>
        <w:t>10517691</w:t>
      </w:r>
      <w:r>
        <w:rPr>
          <w:rFonts w:hint="eastAsia" w:ascii="仿宋" w:hAnsi="仿宋" w:eastAsia="仿宋" w:cs="仿宋"/>
          <w:color w:val="auto"/>
          <w:sz w:val="24"/>
        </w:rPr>
        <w:t>@qq.com</w:t>
      </w:r>
      <w:r>
        <w:rPr>
          <w:rFonts w:hint="eastAsia" w:ascii="仿宋" w:hAnsi="仿宋" w:eastAsia="仿宋" w:cs="仿宋"/>
          <w:color w:val="auto"/>
          <w:sz w:val="24"/>
          <w:lang w:eastAsia="zh-CN"/>
        </w:rPr>
        <w:t>进行报名。并</w:t>
      </w:r>
      <w:r>
        <w:rPr>
          <w:rFonts w:hint="eastAsia" w:ascii="仿宋" w:hAnsi="仿宋" w:eastAsia="仿宋" w:cs="仿宋"/>
          <w:i w:val="0"/>
          <w:iCs w:val="0"/>
          <w:snapToGrid/>
          <w:color w:val="auto"/>
          <w:kern w:val="2"/>
          <w:sz w:val="24"/>
          <w:szCs w:val="24"/>
          <w:u w:val="none"/>
        </w:rPr>
        <w:t>于202</w:t>
      </w:r>
      <w:r>
        <w:rPr>
          <w:rFonts w:hint="eastAsia" w:ascii="仿宋" w:hAnsi="仿宋" w:eastAsia="仿宋" w:cs="仿宋"/>
          <w:i w:val="0"/>
          <w:iCs w:val="0"/>
          <w:snapToGrid/>
          <w:color w:val="auto"/>
          <w:kern w:val="2"/>
          <w:sz w:val="24"/>
          <w:szCs w:val="24"/>
          <w:u w:val="none"/>
          <w:lang w:val="en-US" w:eastAsia="zh-CN"/>
        </w:rPr>
        <w:t>4</w:t>
      </w:r>
      <w:r>
        <w:rPr>
          <w:rFonts w:hint="eastAsia" w:ascii="仿宋" w:hAnsi="仿宋" w:eastAsia="仿宋" w:cs="仿宋"/>
          <w:i w:val="0"/>
          <w:iCs w:val="0"/>
          <w:snapToGrid/>
          <w:color w:val="auto"/>
          <w:kern w:val="2"/>
          <w:sz w:val="24"/>
          <w:szCs w:val="24"/>
          <w:u w:val="none"/>
        </w:rPr>
        <w:t>年</w:t>
      </w:r>
      <w:r>
        <w:rPr>
          <w:rFonts w:hint="eastAsia" w:ascii="仿宋" w:hAnsi="仿宋" w:eastAsia="仿宋" w:cs="仿宋"/>
          <w:i w:val="0"/>
          <w:iCs w:val="0"/>
          <w:snapToGrid/>
          <w:color w:val="auto"/>
          <w:kern w:val="2"/>
          <w:sz w:val="24"/>
          <w:szCs w:val="24"/>
          <w:u w:val="none"/>
          <w:lang w:val="en-US" w:eastAsia="zh-CN"/>
        </w:rPr>
        <w:t>6</w:t>
      </w:r>
      <w:r>
        <w:rPr>
          <w:rFonts w:hint="eastAsia" w:ascii="仿宋" w:hAnsi="仿宋" w:eastAsia="仿宋" w:cs="仿宋"/>
          <w:i w:val="0"/>
          <w:iCs w:val="0"/>
          <w:snapToGrid/>
          <w:color w:val="auto"/>
          <w:kern w:val="2"/>
          <w:sz w:val="24"/>
          <w:szCs w:val="24"/>
          <w:u w:val="none"/>
        </w:rPr>
        <w:t>月</w:t>
      </w:r>
      <w:r>
        <w:rPr>
          <w:rFonts w:hint="eastAsia" w:ascii="仿宋" w:hAnsi="仿宋" w:eastAsia="仿宋" w:cs="仿宋"/>
          <w:i w:val="0"/>
          <w:iCs w:val="0"/>
          <w:snapToGrid/>
          <w:color w:val="auto"/>
          <w:kern w:val="2"/>
          <w:sz w:val="24"/>
          <w:szCs w:val="24"/>
          <w:u w:val="none"/>
          <w:lang w:val="en-US" w:eastAsia="zh-CN"/>
        </w:rPr>
        <w:t>13</w:t>
      </w:r>
      <w:r>
        <w:rPr>
          <w:rFonts w:hint="eastAsia" w:ascii="仿宋" w:hAnsi="仿宋" w:eastAsia="仿宋" w:cs="仿宋"/>
          <w:i w:val="0"/>
          <w:iCs w:val="0"/>
          <w:snapToGrid/>
          <w:color w:val="auto"/>
          <w:kern w:val="2"/>
          <w:sz w:val="24"/>
          <w:szCs w:val="24"/>
          <w:u w:val="none"/>
        </w:rPr>
        <w:t>日</w:t>
      </w:r>
      <w:r>
        <w:rPr>
          <w:rFonts w:hint="eastAsia" w:ascii="仿宋" w:hAnsi="仿宋" w:eastAsia="仿宋" w:cs="仿宋"/>
          <w:i w:val="0"/>
          <w:iCs w:val="0"/>
          <w:snapToGrid/>
          <w:color w:val="auto"/>
          <w:kern w:val="2"/>
          <w:sz w:val="24"/>
          <w:szCs w:val="24"/>
          <w:u w:val="none"/>
          <w:lang w:val="en-US" w:eastAsia="zh-CN"/>
        </w:rPr>
        <w:t>14</w:t>
      </w:r>
      <w:r>
        <w:rPr>
          <w:rFonts w:hint="eastAsia" w:ascii="仿宋" w:hAnsi="仿宋" w:eastAsia="仿宋" w:cs="仿宋"/>
          <w:i w:val="0"/>
          <w:iCs w:val="0"/>
          <w:snapToGrid/>
          <w:color w:val="auto"/>
          <w:kern w:val="2"/>
          <w:sz w:val="24"/>
          <w:szCs w:val="24"/>
          <w:u w:val="none"/>
        </w:rPr>
        <w:t>点</w:t>
      </w:r>
      <w:r>
        <w:rPr>
          <w:rFonts w:hint="eastAsia" w:ascii="仿宋" w:hAnsi="仿宋" w:eastAsia="仿宋" w:cs="仿宋"/>
          <w:i w:val="0"/>
          <w:iCs w:val="0"/>
          <w:snapToGrid/>
          <w:color w:val="auto"/>
          <w:kern w:val="2"/>
          <w:sz w:val="24"/>
          <w:szCs w:val="24"/>
          <w:u w:val="none"/>
          <w:lang w:val="en-US" w:eastAsia="zh-CN"/>
        </w:rPr>
        <w:t>00</w:t>
      </w:r>
      <w:r>
        <w:rPr>
          <w:rFonts w:hint="eastAsia" w:ascii="仿宋" w:hAnsi="仿宋" w:eastAsia="仿宋" w:cs="仿宋"/>
          <w:i w:val="0"/>
          <w:iCs w:val="0"/>
          <w:snapToGrid/>
          <w:color w:val="auto"/>
          <w:kern w:val="2"/>
          <w:sz w:val="24"/>
          <w:szCs w:val="24"/>
          <w:u w:val="none"/>
        </w:rPr>
        <w:t>分</w:t>
      </w:r>
      <w:r>
        <w:rPr>
          <w:rFonts w:hint="eastAsia" w:ascii="仿宋" w:hAnsi="仿宋" w:eastAsia="仿宋" w:cs="仿宋"/>
          <w:bCs/>
          <w:i w:val="0"/>
          <w:iCs w:val="0"/>
          <w:snapToGrid/>
          <w:color w:val="auto"/>
          <w:kern w:val="2"/>
          <w:sz w:val="24"/>
          <w:szCs w:val="24"/>
          <w:u w:val="none"/>
        </w:rPr>
        <w:t>00秒</w:t>
      </w:r>
      <w:r>
        <w:rPr>
          <w:rFonts w:hint="eastAsia" w:ascii="仿宋" w:hAnsi="仿宋" w:eastAsia="仿宋" w:cs="仿宋"/>
          <w:bCs/>
          <w:color w:val="auto"/>
          <w:sz w:val="24"/>
        </w:rPr>
        <w:t>（北京时间）前</w:t>
      </w:r>
      <w:r>
        <w:rPr>
          <w:rFonts w:hint="eastAsia" w:ascii="仿宋" w:hAnsi="仿宋" w:eastAsia="仿宋" w:cs="仿宋"/>
          <w:color w:val="auto"/>
          <w:sz w:val="24"/>
        </w:rPr>
        <w:t>递交投标文件。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bCs/>
          <w:color w:val="auto"/>
          <w:sz w:val="24"/>
        </w:rPr>
        <w:t>SXTSG-ZB-202</w:t>
      </w:r>
      <w:r>
        <w:rPr>
          <w:rFonts w:hint="eastAsia" w:ascii="仿宋" w:hAnsi="仿宋" w:eastAsia="仿宋" w:cs="仿宋"/>
          <w:b/>
          <w:bCs/>
          <w:color w:val="auto"/>
          <w:sz w:val="24"/>
          <w:lang w:val="en-US" w:eastAsia="zh-CN"/>
        </w:rPr>
        <w:t>4</w:t>
      </w:r>
      <w:r>
        <w:rPr>
          <w:rFonts w:hint="eastAsia" w:ascii="仿宋" w:hAnsi="仿宋" w:eastAsia="仿宋" w:cs="仿宋"/>
          <w:b/>
          <w:bCs/>
          <w:color w:val="auto"/>
          <w:sz w:val="24"/>
        </w:rPr>
        <w:t>-0</w:t>
      </w:r>
      <w:r>
        <w:rPr>
          <w:rFonts w:hint="eastAsia" w:ascii="仿宋" w:hAnsi="仿宋" w:eastAsia="仿宋" w:cs="仿宋"/>
          <w:b/>
          <w:bCs/>
          <w:color w:val="auto"/>
          <w:sz w:val="24"/>
          <w:lang w:val="en-US" w:eastAsia="zh-CN"/>
        </w:rPr>
        <w:t>3</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bCs/>
          <w:color w:val="auto"/>
          <w:sz w:val="24"/>
          <w:u w:val="none"/>
          <w:lang w:val="en-US" w:eastAsia="zh-CN"/>
        </w:rPr>
        <w:t>2024年5-12月《信息与参考》等刊物印刷制作</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bCs w:val="0"/>
          <w:color w:val="auto"/>
          <w:sz w:val="24"/>
          <w:lang w:val="en-US" w:eastAsia="zh-CN"/>
        </w:rPr>
        <w:t>73440</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73440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bCs/>
          <w:color w:val="auto"/>
          <w:sz w:val="24"/>
          <w:u w:val="none"/>
          <w:lang w:val="en-US" w:eastAsia="zh-CN"/>
        </w:rPr>
        <w:t>2024年5-12月《信息与参考》等刊物印刷制作</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cs="仿宋"/>
          <w:b/>
          <w:bCs w:val="0"/>
          <w:color w:val="auto"/>
          <w:sz w:val="24"/>
          <w:lang w:val="en-US" w:eastAsia="zh-CN"/>
        </w:rPr>
        <w:t>73440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bCs/>
          <w:color w:val="auto"/>
          <w:sz w:val="24"/>
          <w:u w:val="none"/>
          <w:lang w:val="en-US" w:eastAsia="zh-CN"/>
        </w:rPr>
        <w:t>2024年5-12月《信息与参考》等刊物印刷制作</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lang w:val="en-US" w:eastAsia="zh-CN"/>
        </w:rPr>
      </w:pPr>
      <w:r>
        <w:rPr>
          <w:rFonts w:hint="eastAsia" w:ascii="仿宋" w:hAnsi="仿宋" w:eastAsia="仿宋" w:cs="仿宋"/>
          <w:b/>
          <w:bCs w:val="0"/>
          <w:color w:val="auto"/>
          <w:sz w:val="24"/>
          <w:lang w:val="en-US" w:eastAsia="zh-CN"/>
        </w:rPr>
        <w:t>合同履行期限：</w:t>
      </w:r>
      <w:r>
        <w:rPr>
          <w:rFonts w:hint="eastAsia" w:ascii="仿宋" w:hAnsi="仿宋" w:eastAsia="仿宋" w:cs="仿宋"/>
          <w:bCs/>
          <w:color w:val="auto"/>
          <w:sz w:val="24"/>
          <w:lang w:val="en-US"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本项目接受联合体投标：☐是，☑否。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bCs/>
          <w:color w:val="auto"/>
          <w:sz w:val="24"/>
        </w:rPr>
        <w:t>4.本项目的特定资格要求：</w:t>
      </w:r>
      <w:r>
        <w:rPr>
          <w:rFonts w:hint="eastAsia" w:ascii="仿宋" w:hAnsi="仿宋" w:eastAsia="仿宋" w:cs="仿宋"/>
          <w:b/>
          <w:bCs/>
          <w:color w:val="auto"/>
          <w:sz w:val="24"/>
          <w:lang w:eastAsia="zh-CN"/>
        </w:rPr>
        <w:t>投标人需为政采云</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lang w:eastAsia="zh-CN"/>
        </w:rPr>
        <w:t>框架协议</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lang w:eastAsia="zh-CN"/>
        </w:rPr>
        <w:t>印刷服务内的供应商（提供政采云上架截图证明）</w:t>
      </w:r>
      <w:r>
        <w:rPr>
          <w:rFonts w:hint="eastAsia" w:ascii="仿宋" w:hAnsi="仿宋" w:eastAsia="仿宋" w:cs="仿宋"/>
          <w:b/>
          <w:bCs/>
          <w:color w:val="auto"/>
          <w:sz w:val="24"/>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u w:val="none"/>
          <w:lang w:eastAsia="zh-CN"/>
        </w:rPr>
      </w:pPr>
      <w:r>
        <w:rPr>
          <w:rFonts w:hint="eastAsia" w:ascii="仿宋" w:hAnsi="仿宋" w:eastAsia="仿宋" w:cs="仿宋"/>
          <w:b/>
          <w:color w:val="auto"/>
          <w:sz w:val="24"/>
        </w:rPr>
        <w:t>时间：</w:t>
      </w:r>
      <w:r>
        <w:rPr>
          <w:rFonts w:hint="eastAsia" w:ascii="仿宋" w:hAnsi="仿宋" w:eastAsia="仿宋" w:cs="仿宋"/>
          <w:b w:val="0"/>
          <w:bCs/>
          <w:color w:val="auto"/>
          <w:sz w:val="24"/>
          <w:u w:val="none"/>
          <w:lang w:eastAsia="zh-CN"/>
        </w:rPr>
        <w:t>即日起，</w:t>
      </w:r>
      <w:r>
        <w:rPr>
          <w:rFonts w:hint="eastAsia" w:ascii="仿宋" w:hAnsi="仿宋" w:eastAsia="仿宋" w:cs="仿宋"/>
          <w:b w:val="0"/>
          <w:bCs/>
          <w:color w:val="auto"/>
          <w:sz w:val="24"/>
          <w:u w:val="none"/>
        </w:rPr>
        <w:t>至</w:t>
      </w:r>
      <w:r>
        <w:rPr>
          <w:rFonts w:hint="eastAsia" w:ascii="仿宋" w:hAnsi="仿宋" w:eastAsia="仿宋" w:cs="仿宋"/>
          <w:b w:val="0"/>
          <w:bCs/>
          <w:color w:val="auto"/>
          <w:sz w:val="24"/>
          <w:u w:val="none"/>
          <w:lang w:eastAsia="zh-CN"/>
        </w:rPr>
        <w:t>开标前。</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lang w:eastAsia="zh-CN"/>
        </w:rPr>
        <w:t>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方式：</w:t>
      </w:r>
      <w:r>
        <w:rPr>
          <w:rFonts w:hint="eastAsia" w:ascii="仿宋" w:hAnsi="仿宋" w:eastAsia="仿宋" w:cs="仿宋"/>
          <w:color w:val="auto"/>
          <w:sz w:val="24"/>
        </w:rPr>
        <w:t>供应商</w:t>
      </w:r>
      <w:r>
        <w:rPr>
          <w:rFonts w:hint="eastAsia" w:ascii="仿宋" w:hAnsi="仿宋" w:eastAsia="仿宋" w:cs="仿宋"/>
          <w:color w:val="auto"/>
          <w:sz w:val="24"/>
          <w:lang w:eastAsia="zh-CN"/>
        </w:rPr>
        <w:t>打开绍兴图书馆网站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sxlib.com，在“资讯信息”——&gt;“招标信息”栏目相应的招标公告附件中自行下载。</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lang w:eastAsia="zh-CN"/>
        </w:rPr>
        <w:t>四、报名、</w:t>
      </w:r>
      <w:r>
        <w:rPr>
          <w:rFonts w:hint="eastAsia" w:ascii="仿宋" w:hAnsi="仿宋" w:eastAsia="仿宋" w:cs="仿宋"/>
          <w:b/>
          <w:color w:val="auto"/>
          <w:sz w:val="24"/>
        </w:rPr>
        <w:t>提交投标文件截止时间、开标时间和地点</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　　报名：供应商将报名资料“（1）授权委托书（2）企业营业执照（3）报名者身份证及联系电话”加盖公章后扫描件发送至邮箱：10517691@qq.com进行报名。</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提交投标文件截止时间： 202</w:t>
      </w:r>
      <w:r>
        <w:rPr>
          <w:rFonts w:hint="eastAsia" w:ascii="仿宋" w:hAnsi="仿宋" w:eastAsia="仿宋" w:cs="仿宋"/>
          <w:b/>
          <w:color w:val="auto"/>
          <w:sz w:val="24"/>
          <w:lang w:val="en-US" w:eastAsia="zh-CN"/>
        </w:rPr>
        <w:t>4</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6</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13</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分00秒 （北京时间）</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xml:space="preserve">　　投标地点：供应商需在开标前，将投标文件送（寄）至绍兴市越城区洋江西路530号绍兴图书馆415室，收件人：项元峰，15257500800。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开标时间：202</w:t>
      </w:r>
      <w:r>
        <w:rPr>
          <w:rFonts w:hint="eastAsia" w:ascii="仿宋" w:hAnsi="仿宋" w:eastAsia="仿宋" w:cs="仿宋"/>
          <w:b/>
          <w:color w:val="auto"/>
          <w:sz w:val="24"/>
          <w:lang w:val="en-US" w:eastAsia="zh-CN"/>
        </w:rPr>
        <w:t>4</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6</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13</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 xml:space="preserve">分00秒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开标地点：绍兴市越城区洋江西路530号绍兴图书馆4楼404会议室</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numPr>
          <w:ilvl w:val="0"/>
          <w:numId w:val="1"/>
        </w:numPr>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其他补充事宜</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1.</w:t>
      </w:r>
      <w:r>
        <w:rPr>
          <w:rFonts w:hint="eastAsia" w:ascii="仿宋" w:hAnsi="仿宋" w:eastAsia="仿宋" w:cs="仿宋"/>
          <w:color w:val="auto"/>
          <w:spacing w:val="8"/>
          <w:kern w:val="0"/>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pacing w:val="8"/>
          <w:kern w:val="0"/>
          <w:sz w:val="24"/>
          <w:lang w:val="en"/>
        </w:rPr>
        <w:t>(</w:t>
      </w:r>
      <w:r>
        <w:rPr>
          <w:rFonts w:hint="eastAsia" w:ascii="仿宋" w:hAnsi="仿宋" w:eastAsia="仿宋" w:cs="仿宋"/>
          <w:color w:val="auto"/>
          <w:spacing w:val="8"/>
          <w:kern w:val="0"/>
          <w:sz w:val="24"/>
          <w:lang w:val="en" w:eastAsia="zh-CN"/>
        </w:rPr>
        <w:t>政策落实根据财政部门要求更新）</w:t>
      </w:r>
      <w:r>
        <w:rPr>
          <w:rFonts w:hint="eastAsia" w:ascii="仿宋" w:hAnsi="仿宋" w:eastAsia="仿宋" w:cs="仿宋"/>
          <w:color w:val="auto"/>
          <w:spacing w:val="8"/>
          <w:kern w:val="0"/>
          <w:sz w:val="24"/>
        </w:rPr>
        <w:t>。</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2.</w:t>
      </w:r>
      <w:r>
        <w:rPr>
          <w:rFonts w:hint="eastAsia" w:ascii="仿宋" w:hAnsi="仿宋" w:eastAsia="仿宋" w:cs="仿宋"/>
          <w:color w:val="auto"/>
          <w:spacing w:val="8"/>
          <w:kern w:val="0"/>
          <w:sz w:val="24"/>
        </w:rPr>
        <w:t>其他事项：（1）需要落实的政府采购政策：包括节约资源、保护环境、支持创新、促进中小企业发展等。详见招标文件的第二部分总则。（2）招标文件公告期限与招标公告的公告期限一致。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绍兴图书馆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绍兴市越城区洋江西路530号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联系人：</w:t>
      </w:r>
      <w:r>
        <w:rPr>
          <w:rFonts w:hint="eastAsia" w:ascii="仿宋" w:hAnsi="仿宋" w:eastAsia="仿宋" w:cs="仿宋"/>
          <w:color w:val="auto"/>
          <w:sz w:val="24"/>
          <w:lang w:eastAsia="zh-CN"/>
        </w:rPr>
        <w:t>项元峰</w:t>
      </w:r>
      <w:r>
        <w:rPr>
          <w:rFonts w:hint="eastAsia" w:ascii="仿宋" w:hAnsi="仿宋" w:eastAsia="仿宋" w:cs="仿宋"/>
          <w:color w:val="auto"/>
          <w:sz w:val="24"/>
          <w:lang w:val="en-US" w:eastAsia="zh-CN"/>
        </w:rPr>
        <w:t xml:space="preserve">  15257500800、沈珊珊 15858173883</w:t>
      </w:r>
    </w:p>
    <w:p>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br w:type="page"/>
      </w:r>
    </w:p>
    <w:p>
      <w:pPr>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lang w:eastAsia="zh-CN"/>
              </w:rPr>
            </w:pPr>
            <w:r>
              <w:rPr>
                <w:rFonts w:hint="eastAsia" w:ascii="仿宋" w:hAnsi="仿宋" w:eastAsia="仿宋" w:cs="仿宋"/>
                <w:b/>
                <w:sz w:val="24"/>
              </w:rPr>
              <w:t>投标文件份数：</w:t>
            </w:r>
            <w:r>
              <w:rPr>
                <w:rFonts w:hint="eastAsia" w:ascii="仿宋" w:hAnsi="仿宋" w:eastAsia="仿宋" w:cs="仿宋"/>
                <w:sz w:val="24"/>
                <w:lang w:eastAsia="zh-CN"/>
              </w:rPr>
              <w:t>五份（一正四副）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5" w:name="_Toc164416483"/>
      <w:bookmarkStart w:id="6"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 xml:space="preserve"> “监督单位”系指政府采购法定义监督管理部门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 xml:space="preserve"> “公章”系指单位法定名称章。因特殊原因需要使用冠以法定名称的业务专用章的，投标时须提供《业务专用章使用说明函》（附件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lang w:eastAsia="zh-CN"/>
        </w:rPr>
        <w:t>　　</w:t>
      </w: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　　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lang w:eastAsia="zh-CN"/>
        </w:rPr>
        <w:t>　　</w:t>
      </w: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3.4支持科技创新创新发展</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3.5平等对待内外资企业和符合条件的破产重整企业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lang w:eastAsia="zh-CN"/>
        </w:rPr>
        <w:t>　　</w:t>
      </w: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w:t>
      </w:r>
      <w:r>
        <w:rPr>
          <w:rFonts w:hint="eastAsia" w:ascii="仿宋" w:hAnsi="仿宋" w:eastAsia="仿宋" w:cs="仿宋"/>
          <w:sz w:val="24"/>
          <w:lang w:eastAsia="zh-CN"/>
        </w:rPr>
        <w:t>按《</w:t>
      </w:r>
      <w:r>
        <w:rPr>
          <w:rFonts w:hint="eastAsia" w:ascii="仿宋" w:hAnsi="仿宋" w:eastAsia="仿宋" w:cs="仿宋"/>
          <w:sz w:val="24"/>
        </w:rPr>
        <w:fldChar w:fldCharType="begin"/>
      </w:r>
      <w:r>
        <w:rPr>
          <w:rFonts w:hint="eastAsia" w:ascii="仿宋" w:hAnsi="仿宋" w:eastAsia="仿宋" w:cs="仿宋"/>
          <w:sz w:val="24"/>
        </w:rPr>
        <w:instrText xml:space="preserve"> HYPERLINK "https://oa.sxlib.com/general/file_folder/read.php?SORT_ID=2441&amp;FILE_SORT=1&amp;CONTENT_ID=8257&amp;start=0" </w:instrText>
      </w:r>
      <w:r>
        <w:rPr>
          <w:rFonts w:hint="eastAsia" w:ascii="仿宋" w:hAnsi="仿宋" w:eastAsia="仿宋" w:cs="仿宋"/>
          <w:sz w:val="24"/>
        </w:rPr>
        <w:fldChar w:fldCharType="separate"/>
      </w:r>
      <w:r>
        <w:rPr>
          <w:rFonts w:hint="eastAsia" w:ascii="仿宋" w:hAnsi="仿宋" w:eastAsia="仿宋" w:cs="仿宋"/>
          <w:sz w:val="24"/>
        </w:rPr>
        <w:t>绍兴图书馆小型采购项目招投标管理办法</w:t>
      </w:r>
      <w:r>
        <w:rPr>
          <w:rFonts w:hint="eastAsia" w:ascii="仿宋" w:hAnsi="仿宋" w:eastAsia="仿宋" w:cs="仿宋"/>
          <w:sz w:val="24"/>
        </w:rPr>
        <w:fldChar w:fldCharType="end"/>
      </w:r>
      <w:r>
        <w:rPr>
          <w:rFonts w:hint="eastAsia" w:ascii="仿宋" w:hAnsi="仿宋" w:eastAsia="仿宋" w:cs="仿宋"/>
          <w:sz w:val="24"/>
          <w:lang w:eastAsia="zh-CN"/>
        </w:rPr>
        <w:t>》</w:t>
      </w:r>
      <w:r>
        <w:rPr>
          <w:rFonts w:hint="eastAsia" w:ascii="仿宋" w:hAnsi="仿宋" w:eastAsia="仿宋" w:cs="仿宋"/>
          <w:sz w:val="24"/>
        </w:rPr>
        <w:t>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7"/>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 w:hAnsi="仿宋" w:eastAsia="仿宋" w:cs="仿宋"/>
          <w:b w:val="0"/>
          <w:bCs/>
          <w:sz w:val="24"/>
        </w:rPr>
        <w:t>1.5投标文件为</w:t>
      </w:r>
      <w:r>
        <w:rPr>
          <w:rFonts w:hint="eastAsia" w:ascii="仿宋" w:hAnsi="仿宋" w:eastAsia="仿宋" w:cs="仿宋"/>
          <w:b w:val="0"/>
          <w:bCs/>
          <w:sz w:val="24"/>
          <w:lang w:eastAsia="zh-CN"/>
        </w:rPr>
        <w:t>纸质</w:t>
      </w:r>
      <w:r>
        <w:rPr>
          <w:rFonts w:hint="eastAsia" w:ascii="仿宋" w:hAnsi="仿宋" w:eastAsia="仿宋" w:cs="仿宋"/>
          <w:b w:val="0"/>
          <w:bCs/>
          <w:sz w:val="24"/>
        </w:rPr>
        <w:t>投标文件，按本招标文件要求制作。</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w:t>
      </w:r>
      <w:r>
        <w:rPr>
          <w:rFonts w:hint="eastAsia" w:ascii="仿宋" w:hAnsi="仿宋" w:eastAsia="仿宋" w:cs="仿宋"/>
          <w:b w:val="0"/>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.2投标文件按照招标文件第六部分格式要求进行签署、盖章。投标人的投标文件未按照招标文件要求签署、盖章的，其投标无效。</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供应商应当在投标截止时间前完成投标文件的递交，并可以补充、修改或者撤回投标文件。</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.3在原定投标有效期满之前，如果出现特殊情况，采购</w:t>
      </w:r>
      <w:r>
        <w:rPr>
          <w:rFonts w:hint="eastAsia" w:ascii="仿宋" w:hAnsi="仿宋" w:eastAsia="仿宋" w:cs="仿宋"/>
          <w:sz w:val="24"/>
          <w:lang w:val="en-US" w:eastAsia="zh-CN"/>
        </w:rPr>
        <w:t>人</w:t>
      </w:r>
      <w:r>
        <w:rPr>
          <w:rFonts w:hint="default" w:ascii="仿宋" w:hAnsi="仿宋" w:eastAsia="仿宋" w:cs="仿宋"/>
          <w:sz w:val="24"/>
          <w:lang w:val="en-US" w:eastAsia="zh-CN"/>
        </w:rPr>
        <w:t>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rPr>
          <w:rFonts w:hint="eastAsia" w:ascii="仿宋" w:hAnsi="仿宋" w:eastAsia="仿宋" w:cs="仿宋"/>
          <w:b/>
          <w:sz w:val="32"/>
          <w:szCs w:val="32"/>
        </w:rPr>
      </w:pPr>
      <w:bookmarkStart w:id="7" w:name="_Toc91899903"/>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sz w:val="24"/>
          <w:lang w:val="en-US" w:eastAsia="zh-CN"/>
        </w:rPr>
      </w:pPr>
      <w:r>
        <w:rPr>
          <w:rFonts w:hint="eastAsia" w:ascii="仿宋" w:hAnsi="仿宋" w:eastAsia="仿宋" w:cs="仿宋"/>
          <w:b/>
          <w:sz w:val="24"/>
        </w:rPr>
        <w:t>1．</w:t>
      </w:r>
      <w:r>
        <w:rPr>
          <w:rFonts w:hint="eastAsia" w:ascii="仿宋" w:hAnsi="仿宋" w:eastAsia="仿宋" w:cs="仿宋"/>
          <w:b/>
          <w:bCs/>
          <w:sz w:val="24"/>
          <w:lang w:val="en-US" w:eastAsia="zh-CN"/>
        </w:rPr>
        <w:t>开标程序：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1.1开标会按照采购公告规定的时间、地点组织开标，由采购单位主持，主持人宣布开标会议开始。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1.2主持人介绍参加开标会的人员名单。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1.3主持人宣布评标期间的有关事项，告知应当回避的情形，提请有关人员回避。</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1.4投标人或其当场推荐的代表检查投标文件密封的完整性并签字确认。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1.5主持人按有效报名顺序依次拆封投标文件。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主持人宣读投标文件有关内容，同时当场制作并打印《开标记录表》，由各投标人法定代表人或其授权代表在开标记录表上签字确认（不予确认的应说明理由，否则视为无异议）。并将投标文件及开标记录表送至评审地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1.7评标委员会对投标文件的合理性、准确性、有效性等进行审查核实。评审结束后，主持人宣布资格和商务技术评审无效投标人名单及理由，公布中标人名单。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1.8开标会议结束。</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2.2评标委员会由采购人代表组成，成员人数为五人以上单数。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2.5评审小组组长组织评审人员独立评审。评审小组对拟认定为采购响应文件无效、供应商资格不符合的，应组织相关供应商代表进行陈述、澄清或申辩。</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2.7评标委员会不向落标方解释落标的原因。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3.3如果投标文件实质不响应招标文件的各项要求，评标委员会将予以拒绝，并且不允许投标人通过修改或撤销其不符合要求的差异或保留，使之成为具有实质性响应的投标。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4</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5.4在评审过程中，如属于实质性偏离或符合无效响应条件的，应当询问相关投标人，但不允许对偏离条款进行补充、修正或撤回。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5.6.1评标委员会认为投标人的报价明显低于其他通过符合性审查投标人的报价，有可能影响产品质量或者不能诚信履约的，应当要求其在合理的时间内提供说明，必要时提交相关证明材料。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5.7评标委员会依据招标文件规定的评标标准和方法，对投标文件进行评审和比较后，向采购人提供书面评标报告，并排序推荐中标候选供应商。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lang w:val="en-US" w:eastAsia="zh-CN"/>
        </w:rPr>
        <w:t>6</w:t>
      </w:r>
      <w:r>
        <w:rPr>
          <w:rFonts w:hint="eastAsia" w:ascii="仿宋" w:hAnsi="仿宋" w:eastAsia="仿宋" w:cs="仿宋"/>
          <w:b/>
        </w:rPr>
        <w:t>.投标文件的澄清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.1未按照招标文件规定要求签字或盖章的；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.22.1供应商直接或者间接从采购人处获得其他供应商的相关情况并修改其投标文件或者响应文件；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.22.2供应商按照采购人的授意撤换、修改投标文件或者响应文件；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lang w:val="en-US" w:eastAsia="zh-CN"/>
        </w:rPr>
        <w:t>7</w:t>
      </w:r>
      <w:r>
        <w:rPr>
          <w:rFonts w:hint="eastAsia" w:ascii="仿宋" w:hAnsi="仿宋" w:eastAsia="仿宋" w:cs="仿宋"/>
          <w:b/>
          <w:sz w:val="24"/>
        </w:rPr>
        <w:t>.25其他违反法律、法规的情形。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lang w:val="en-US" w:eastAsia="zh-CN"/>
        </w:rPr>
        <w:t>8</w:t>
      </w:r>
      <w:r>
        <w:rPr>
          <w:rFonts w:hint="eastAsia" w:ascii="仿宋" w:hAnsi="仿宋" w:eastAsia="仿宋" w:cs="仿宋"/>
          <w:b/>
          <w:kern w:val="0"/>
          <w:sz w:val="24"/>
        </w:rPr>
        <w:t>.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7"/>
    <w:p>
      <w:pPr>
        <w:rPr>
          <w:rFonts w:hint="eastAsia" w:ascii="仿宋" w:hAnsi="仿宋" w:eastAsia="仿宋" w:cs="仿宋"/>
          <w:b/>
          <w:sz w:val="32"/>
          <w:szCs w:val="32"/>
        </w:rPr>
      </w:pPr>
      <w:bookmarkStart w:id="8" w:name="_Hlt75236011"/>
      <w:bookmarkEnd w:id="8"/>
      <w:bookmarkStart w:id="9" w:name="_Hlt68057669"/>
      <w:bookmarkEnd w:id="9"/>
      <w:bookmarkStart w:id="10" w:name="_Hlt74729768"/>
      <w:bookmarkEnd w:id="10"/>
      <w:bookmarkStart w:id="11" w:name="_Hlt74714665"/>
      <w:bookmarkEnd w:id="11"/>
      <w:bookmarkStart w:id="12" w:name="_Hlt68072998"/>
      <w:bookmarkEnd w:id="12"/>
      <w:bookmarkStart w:id="13" w:name="_Hlt68073093"/>
      <w:bookmarkEnd w:id="13"/>
      <w:bookmarkStart w:id="14" w:name="_Hlt74730295"/>
      <w:bookmarkEnd w:id="14"/>
      <w:bookmarkStart w:id="15" w:name="_Hlt75236290"/>
      <w:bookmarkEnd w:id="15"/>
      <w:bookmarkStart w:id="16" w:name="_Hlt68403820"/>
      <w:bookmarkEnd w:id="16"/>
      <w:bookmarkStart w:id="17" w:name="_Hlt74707468"/>
      <w:bookmarkEnd w:id="17"/>
      <w:bookmarkStart w:id="18" w:name="_Hlt68072990"/>
      <w:bookmarkEnd w:id="18"/>
      <w:bookmarkStart w:id="19" w:name="_Hlt75236101"/>
      <w:bookmarkEnd w:id="19"/>
      <w:bookmarkStart w:id="20" w:name="_Toc81372776"/>
      <w:bookmarkStart w:id="21" w:name="_Toc84325929"/>
      <w:bookmarkStart w:id="22" w:name="_Toc81372953"/>
      <w:r>
        <w:rPr>
          <w:rFonts w:hint="eastAsia" w:ascii="仿宋" w:hAnsi="仿宋" w:eastAsia="仿宋" w:cs="仿宋"/>
          <w:b/>
          <w:sz w:val="32"/>
          <w:szCs w:val="32"/>
        </w:rPr>
        <w:br w:type="page"/>
      </w:r>
    </w:p>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r>
        <w:rPr>
          <w:rFonts w:hint="eastAsia" w:ascii="仿宋" w:hAnsi="仿宋" w:eastAsia="仿宋" w:cs="仿宋"/>
          <w:b/>
          <w:sz w:val="32"/>
          <w:szCs w:val="32"/>
        </w:rPr>
        <w:t>五、授予合同</w:t>
      </w:r>
    </w:p>
    <w:bookmarkEnd w:id="20"/>
    <w:bookmarkEnd w:id="21"/>
    <w:bookmarkEnd w:id="22"/>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w:t>
      </w:r>
      <w:r>
        <w:rPr>
          <w:rFonts w:hint="eastAsia" w:ascii="仿宋" w:hAnsi="仿宋" w:eastAsia="仿宋" w:cs="仿宋"/>
          <w:sz w:val="24"/>
          <w:lang w:eastAsia="zh-CN"/>
        </w:rPr>
        <w:t>人</w:t>
      </w:r>
      <w:r>
        <w:rPr>
          <w:rFonts w:hint="eastAsia" w:ascii="仿宋" w:hAnsi="仿宋" w:eastAsia="仿宋" w:cs="仿宋"/>
          <w:sz w:val="24"/>
        </w:rPr>
        <w:t>对中标结果在</w:t>
      </w:r>
      <w:r>
        <w:rPr>
          <w:rFonts w:hint="eastAsia" w:ascii="仿宋" w:hAnsi="仿宋" w:eastAsia="仿宋" w:cs="仿宋"/>
          <w:sz w:val="24"/>
          <w:lang w:eastAsia="zh-CN"/>
        </w:rPr>
        <w:t>绍兴图书馆网站</w:t>
      </w:r>
      <w:r>
        <w:rPr>
          <w:rFonts w:hint="eastAsia" w:ascii="仿宋" w:hAnsi="仿宋" w:eastAsia="仿宋" w:cs="仿宋"/>
          <w:sz w:val="24"/>
        </w:rPr>
        <w:t>（</w:t>
      </w:r>
      <w:r>
        <w:rPr>
          <w:rFonts w:hint="eastAsia" w:ascii="仿宋" w:hAnsi="仿宋" w:eastAsia="仿宋" w:cs="仿宋"/>
          <w:sz w:val="24"/>
          <w:lang w:val="en-US" w:eastAsia="zh-CN"/>
        </w:rPr>
        <w:t>www.sxlib.com</w:t>
      </w:r>
      <w:r>
        <w:rPr>
          <w:rFonts w:hint="eastAsia" w:ascii="仿宋" w:hAnsi="仿宋" w:eastAsia="仿宋" w:cs="仿宋"/>
          <w:sz w:val="24"/>
        </w:rPr>
        <w:t>）发布中标公告，中标公告期限为1个工作日。</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xml:space="preserve">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供应商对政府采购活动事项有疑问的，可以提出询问，采购人应当在3个工作日内对供应商依法提出的询问作出答复，但答复的内容不得涉及商业秘密。</w:t>
      </w:r>
    </w:p>
    <w:p>
      <w:pPr>
        <w:adjustRightInd w:val="0"/>
        <w:spacing w:line="336" w:lineRule="auto"/>
        <w:jc w:val="both"/>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pPr>
        <w:adjustRightInd w:val="0"/>
        <w:spacing w:line="336" w:lineRule="auto"/>
        <w:ind w:firstLine="482" w:firstLineChars="200"/>
        <w:jc w:val="both"/>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.1.2供应商认为采购文件、采购过程和成交结果使自己的权益受到损害的，可以在知道或者应知其权益受到损害之日起七个工作日内，以书面形式向采购人提出质疑，否则，采购人不予受理：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4.1质疑供应商对采购人的答复不满意或者采购人未在规定的时间内作出答复的，可以在答复期满后十五个工作日内向同级政府采购监督管理部门提出投诉。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2"/>
          <w:cols w:space="720" w:num="1"/>
          <w:docGrid w:linePitch="312" w:charSpace="0"/>
        </w:sectPr>
      </w:pPr>
    </w:p>
    <w:bookmarkEnd w:id="5"/>
    <w:bookmarkEnd w:id="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23" w:name="第四部分"/>
      <w:r>
        <w:rPr>
          <w:rFonts w:hint="eastAsia" w:ascii="仿宋" w:hAnsi="仿宋" w:eastAsia="仿宋" w:cs="仿宋"/>
          <w:b/>
          <w:sz w:val="36"/>
          <w:szCs w:val="36"/>
        </w:rPr>
        <w:t>第三部分   招标项目范围及要求</w:t>
      </w:r>
    </w:p>
    <w:bookmarkEnd w:id="23"/>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bookmarkStart w:id="24" w:name="第五部分"/>
      <w:bookmarkStart w:id="25" w:name="_Toc86217003"/>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lang w:eastAsia="zh-CN"/>
        </w:rPr>
        <w:t>一、</w:t>
      </w:r>
      <w:r>
        <w:rPr>
          <w:rFonts w:hint="eastAsia" w:ascii="华文中宋" w:hAnsi="华文中宋" w:eastAsia="华文中宋"/>
          <w:sz w:val="24"/>
        </w:rPr>
        <w:t>项目内容及数量</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202</w:t>
      </w:r>
      <w:r>
        <w:rPr>
          <w:rFonts w:hint="eastAsia" w:ascii="华文中宋" w:hAnsi="华文中宋" w:eastAsia="华文中宋"/>
          <w:sz w:val="24"/>
          <w:lang w:val="en-US" w:eastAsia="zh-CN"/>
        </w:rPr>
        <w:t>4</w:t>
      </w:r>
      <w:r>
        <w:rPr>
          <w:rFonts w:hint="eastAsia" w:ascii="华文中宋" w:hAnsi="华文中宋" w:eastAsia="华文中宋"/>
          <w:sz w:val="24"/>
        </w:rPr>
        <w:t>年度</w:t>
      </w:r>
      <w:r>
        <w:rPr>
          <w:rFonts w:hint="eastAsia" w:ascii="华文中宋" w:hAnsi="华文中宋" w:eastAsia="华文中宋"/>
          <w:sz w:val="24"/>
          <w:lang w:val="en-US" w:eastAsia="zh-CN"/>
        </w:rPr>
        <w:t>5</w:t>
      </w:r>
      <w:r>
        <w:rPr>
          <w:rFonts w:hint="eastAsia" w:ascii="华文中宋" w:hAnsi="华文中宋" w:eastAsia="华文中宋"/>
          <w:sz w:val="24"/>
        </w:rPr>
        <w:t>-12月《信息与参考》、《信息与参考产业版》等刊物排版印刷项目包括《信息与参考》、《信息与参考产业版》、特刊印刷等项目，具体数量、规格如下：</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1、202</w:t>
      </w:r>
      <w:r>
        <w:rPr>
          <w:rFonts w:hint="eastAsia" w:ascii="华文中宋" w:hAnsi="华文中宋" w:eastAsia="华文中宋"/>
          <w:sz w:val="24"/>
          <w:lang w:val="en-US" w:eastAsia="zh-CN"/>
        </w:rPr>
        <w:t>4</w:t>
      </w:r>
      <w:r>
        <w:rPr>
          <w:rFonts w:hint="eastAsia" w:ascii="华文中宋" w:hAnsi="华文中宋" w:eastAsia="华文中宋"/>
          <w:sz w:val="24"/>
        </w:rPr>
        <w:t>年度《信息与参考》，规格210*290，大16开，内页40页，双面印刷，封面要求157克铜版纸，四色胶印，内芯用纸要求80克玉质纸，骑马钉装订。每期印量300本，</w:t>
      </w:r>
      <w:r>
        <w:rPr>
          <w:rFonts w:hint="eastAsia" w:ascii="华文中宋" w:hAnsi="华文中宋" w:eastAsia="华文中宋"/>
          <w:sz w:val="24"/>
          <w:lang w:val="en-US" w:eastAsia="zh-CN"/>
        </w:rPr>
        <w:t>5</w:t>
      </w:r>
      <w:r>
        <w:rPr>
          <w:rFonts w:hint="eastAsia" w:ascii="华文中宋" w:hAnsi="华文中宋" w:eastAsia="华文中宋"/>
          <w:sz w:val="24"/>
        </w:rPr>
        <w:t>-12月共4</w:t>
      </w:r>
      <w:r>
        <w:rPr>
          <w:rFonts w:hint="eastAsia" w:ascii="华文中宋" w:hAnsi="华文中宋" w:eastAsia="华文中宋"/>
          <w:sz w:val="24"/>
          <w:lang w:val="en-US" w:eastAsia="zh-CN"/>
        </w:rPr>
        <w:t>8</w:t>
      </w:r>
      <w:r>
        <w:rPr>
          <w:rFonts w:hint="eastAsia" w:ascii="华文中宋" w:hAnsi="华文中宋" w:eastAsia="华文中宋"/>
          <w:sz w:val="24"/>
        </w:rPr>
        <w:t>00本。</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2、202</w:t>
      </w:r>
      <w:r>
        <w:rPr>
          <w:rFonts w:hint="eastAsia" w:ascii="华文中宋" w:hAnsi="华文中宋" w:eastAsia="华文中宋"/>
          <w:sz w:val="24"/>
          <w:lang w:val="en-US" w:eastAsia="zh-CN"/>
        </w:rPr>
        <w:t>3</w:t>
      </w:r>
      <w:r>
        <w:rPr>
          <w:rFonts w:hint="eastAsia" w:ascii="华文中宋" w:hAnsi="华文中宋" w:eastAsia="华文中宋"/>
          <w:sz w:val="24"/>
        </w:rPr>
        <w:t>年度《信息与参考产业版》，规格210*290，大16开，内页32页，双面印刷，封面要求157克铜版纸，四色胶印，内芯用纸要求80克玉质纸，骑马钉装订。每期印量300本，</w:t>
      </w:r>
      <w:r>
        <w:rPr>
          <w:rFonts w:hint="eastAsia" w:ascii="华文中宋" w:hAnsi="华文中宋" w:eastAsia="华文中宋"/>
          <w:sz w:val="24"/>
          <w:lang w:val="en-US" w:eastAsia="zh-CN"/>
        </w:rPr>
        <w:t>5</w:t>
      </w:r>
      <w:r>
        <w:rPr>
          <w:rFonts w:hint="eastAsia" w:ascii="华文中宋" w:hAnsi="华文中宋" w:eastAsia="华文中宋"/>
          <w:sz w:val="24"/>
        </w:rPr>
        <w:t>-12月共印900本。</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lang w:val="en-US" w:eastAsia="zh-CN"/>
        </w:rPr>
        <w:t>3</w:t>
      </w:r>
      <w:r>
        <w:rPr>
          <w:rFonts w:hint="eastAsia" w:ascii="华文中宋" w:hAnsi="华文中宋" w:eastAsia="华文中宋"/>
          <w:sz w:val="24"/>
        </w:rPr>
        <w:t>、202</w:t>
      </w:r>
      <w:r>
        <w:rPr>
          <w:rFonts w:hint="eastAsia" w:ascii="华文中宋" w:hAnsi="华文中宋" w:eastAsia="华文中宋"/>
          <w:sz w:val="24"/>
          <w:lang w:val="en-US" w:eastAsia="zh-CN"/>
        </w:rPr>
        <w:t>4</w:t>
      </w:r>
      <w:r>
        <w:rPr>
          <w:rFonts w:hint="eastAsia" w:ascii="华文中宋" w:hAnsi="华文中宋" w:eastAsia="华文中宋"/>
          <w:sz w:val="24"/>
        </w:rPr>
        <w:t>年度《信息与参考》合订本，全年6套，每套2册，其中，第1-12期装订成一册，第13-24期装订成一册，规格210*290，大16开，封面要求250克铜版纸，四色胶印，正面覆亚胶，内页202</w:t>
      </w:r>
      <w:r>
        <w:rPr>
          <w:rFonts w:hint="eastAsia" w:ascii="华文中宋" w:hAnsi="华文中宋" w:eastAsia="华文中宋"/>
          <w:sz w:val="24"/>
          <w:lang w:val="en-US" w:eastAsia="zh-CN"/>
        </w:rPr>
        <w:t>4</w:t>
      </w:r>
      <w:r>
        <w:rPr>
          <w:rFonts w:hint="eastAsia" w:ascii="华文中宋" w:hAnsi="华文中宋" w:eastAsia="华文中宋"/>
          <w:sz w:val="24"/>
        </w:rPr>
        <w:t>年度出版的每期内容装订成册，无线胶装订。</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lang w:val="en-US" w:eastAsia="zh-CN"/>
        </w:rPr>
        <w:t>4</w:t>
      </w:r>
      <w:r>
        <w:rPr>
          <w:rFonts w:hint="eastAsia" w:ascii="华文中宋" w:hAnsi="华文中宋" w:eastAsia="华文中宋"/>
          <w:sz w:val="24"/>
        </w:rPr>
        <w:t>、202</w:t>
      </w:r>
      <w:r>
        <w:rPr>
          <w:rFonts w:hint="eastAsia" w:ascii="华文中宋" w:hAnsi="华文中宋" w:eastAsia="华文中宋"/>
          <w:sz w:val="24"/>
          <w:lang w:val="en-US" w:eastAsia="zh-CN"/>
        </w:rPr>
        <w:t>4</w:t>
      </w:r>
      <w:r>
        <w:rPr>
          <w:rFonts w:hint="eastAsia" w:ascii="华文中宋" w:hAnsi="华文中宋" w:eastAsia="华文中宋"/>
          <w:sz w:val="24"/>
        </w:rPr>
        <w:t>年度《信息与参考产业版》全年合订本，规格210*290，大16开，封面要求250克铜版纸，四色胶印，正面覆亚胶，内页为202</w:t>
      </w:r>
      <w:r>
        <w:rPr>
          <w:rFonts w:hint="eastAsia" w:ascii="华文中宋" w:hAnsi="华文中宋" w:eastAsia="华文中宋"/>
          <w:sz w:val="24"/>
          <w:lang w:val="en-US" w:eastAsia="zh-CN"/>
        </w:rPr>
        <w:t>4</w:t>
      </w:r>
      <w:r>
        <w:rPr>
          <w:rFonts w:hint="eastAsia" w:ascii="华文中宋" w:hAnsi="华文中宋" w:eastAsia="华文中宋"/>
          <w:sz w:val="24"/>
        </w:rPr>
        <w:t>年度出版的每期内容装订成册，无线胶装订。全年6套，每套1本。</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lang w:val="en-US" w:eastAsia="zh-CN"/>
        </w:rPr>
        <w:t>5</w:t>
      </w:r>
      <w:r>
        <w:rPr>
          <w:rFonts w:hint="eastAsia" w:ascii="华文中宋" w:hAnsi="华文中宋" w:eastAsia="华文中宋"/>
          <w:sz w:val="24"/>
        </w:rPr>
        <w:t>、202</w:t>
      </w:r>
      <w:r>
        <w:rPr>
          <w:rFonts w:hint="eastAsia" w:ascii="华文中宋" w:hAnsi="华文中宋" w:eastAsia="华文中宋"/>
          <w:sz w:val="24"/>
          <w:lang w:val="en-US" w:eastAsia="zh-CN"/>
        </w:rPr>
        <w:t>4</w:t>
      </w:r>
      <w:r>
        <w:rPr>
          <w:rFonts w:hint="eastAsia" w:ascii="华文中宋" w:hAnsi="华文中宋" w:eastAsia="华文中宋"/>
          <w:sz w:val="24"/>
        </w:rPr>
        <w:t>年度特刊印刷或其他刊物印刷费，规格210*290，大16开，内页80-100页，双面印刷，封面要求250克铜版纸，四色胶印，内芯用纸要求80克玉质纸，无线胶装订。全年1000本。（注：特刊或其他刊物内容会根据情况适当增加或减少，内页则会相应适当增加或减少。）</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二、排版、印刷、发放要求：</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1、甲方将印刷内容以WORD版本通过QQ发至乙方，乙方收到后48小时内，必须完成文字校对、排版设计工作，并提交甲方审核。</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2、乙方负责印刷内容的文章校对工作，经校对后的稿件，错误率为零；</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3、排版设计美观大方，合乎体裁，疏密适度；</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4、乙方根据甲方的审核意见，1天内完成修改工作，并向甲方提供完整的PDF格式文本及可修改电子稿。如合同执行期内刊物有改版需求，乙方必须在甲方要求时间前提供样刊一本，内容包括封面、目录、正文等，并根据甲方确认的实样进行印刷。</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5、经定稿后的刊物乙方需在2-3天内完成印刷工作。印刷成品如与定稿有出入，则需全部返还乙方重新印刷。</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6、乙方按照甲方提供的详细发放名单准确无误进行送达，投递方式为上门投递和邮寄。</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7、各类刊物在印刷完成2日内完成发放工作，邮寄的以邮局邮戳时间为准。《信息与参考》、《产业专题信息》每期的发放、邮寄需及时、准确。甲方将不定期进行抽查，如抽查发现1次有一本及以上刊物未及时发放或未发放的情况，则扣除合同总金额的5%，发现2次有一本及以上刊物未及时发放或未发放的情况，则扣除合同总金额的10%，累计超过3次及以上（包括3次）发现有一本及以上刊物未及时发放或未发放的情况，则立即终止本合同，如因非乙方原因导致未及时发送或者未发送，甲方不得扣除合同经费或解除合同。</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lang w:eastAsia="zh-CN"/>
        </w:rPr>
        <w:t>三、</w:t>
      </w:r>
      <w:r>
        <w:rPr>
          <w:rFonts w:hint="eastAsia" w:ascii="华文中宋" w:hAnsi="华文中宋" w:eastAsia="华文中宋"/>
          <w:sz w:val="24"/>
        </w:rPr>
        <w:t>印刷质量及要求：</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1、无透字露字；</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2、版面美观大方，合乎体裁，疏密适度；</w:t>
      </w:r>
    </w:p>
    <w:p>
      <w:pPr>
        <w:snapToGrid w:val="0"/>
        <w:spacing w:before="120" w:beforeLines="50" w:after="120" w:afterLines="50" w:line="360" w:lineRule="auto"/>
        <w:ind w:firstLine="566" w:firstLineChars="236"/>
        <w:rPr>
          <w:rFonts w:hint="eastAsia" w:ascii="华文中宋" w:hAnsi="华文中宋" w:eastAsia="华文中宋"/>
          <w:sz w:val="24"/>
        </w:rPr>
      </w:pPr>
      <w:r>
        <w:rPr>
          <w:rFonts w:hint="eastAsia" w:ascii="华文中宋" w:hAnsi="华文中宋" w:eastAsia="华文中宋"/>
          <w:sz w:val="24"/>
        </w:rPr>
        <w:t>3、字体美观清楚，字号配合适宜，墨色均匀；浓淡合宜，无断笔残字；</w:t>
      </w:r>
    </w:p>
    <w:p>
      <w:pPr>
        <w:snapToGrid w:val="0"/>
        <w:spacing w:before="120" w:beforeLines="50" w:after="120" w:afterLines="50" w:line="360" w:lineRule="auto"/>
        <w:ind w:firstLine="566" w:firstLineChars="236"/>
        <w:rPr>
          <w:rFonts w:hint="eastAsia" w:ascii="华文中宋" w:hAnsi="华文中宋" w:eastAsia="华文中宋"/>
          <w:sz w:val="24"/>
          <w:lang w:eastAsia="zh-CN"/>
        </w:rPr>
      </w:pPr>
      <w:r>
        <w:rPr>
          <w:rFonts w:hint="eastAsia" w:ascii="华文中宋" w:hAnsi="华文中宋" w:eastAsia="华文中宋"/>
          <w:sz w:val="24"/>
        </w:rPr>
        <w:t>4、图表缩比适度，黑白图片网点清晰层次分明；彩色图片套印准确，还原率高，版面不脏不污</w:t>
      </w:r>
      <w:r>
        <w:rPr>
          <w:rFonts w:hint="eastAsia" w:ascii="华文中宋" w:hAnsi="华文中宋" w:eastAsia="华文中宋"/>
          <w:sz w:val="24"/>
          <w:lang w:eastAsia="zh-CN"/>
        </w:rPr>
        <w:t>。</w:t>
      </w:r>
    </w:p>
    <w:p>
      <w:pPr>
        <w:snapToGrid w:val="0"/>
        <w:spacing w:before="120" w:beforeLines="50" w:after="120" w:afterLines="50" w:line="360" w:lineRule="auto"/>
        <w:ind w:firstLine="566" w:firstLineChars="236"/>
        <w:rPr>
          <w:rFonts w:hint="eastAsia" w:ascii="华文中宋" w:hAnsi="华文中宋" w:eastAsia="华文中宋"/>
          <w:sz w:val="24"/>
          <w:lang w:eastAsia="zh-CN"/>
        </w:rPr>
      </w:pPr>
      <w:r>
        <w:rPr>
          <w:rFonts w:hint="eastAsia" w:ascii="华文中宋" w:hAnsi="华文中宋" w:eastAsia="华文中宋"/>
          <w:sz w:val="24"/>
          <w:lang w:eastAsia="zh-CN"/>
        </w:rPr>
        <w:t>四、付款方式</w:t>
      </w:r>
    </w:p>
    <w:p>
      <w:pPr>
        <w:snapToGrid w:val="0"/>
        <w:spacing w:before="120" w:beforeLines="50" w:after="120" w:afterLines="50" w:line="360" w:lineRule="auto"/>
        <w:ind w:firstLine="566" w:firstLineChars="236"/>
        <w:rPr>
          <w:rFonts w:hint="eastAsia" w:ascii="华文中宋" w:hAnsi="华文中宋" w:eastAsia="华文中宋"/>
          <w:sz w:val="24"/>
          <w:lang w:eastAsia="zh-CN"/>
        </w:rPr>
      </w:pPr>
      <w:r>
        <w:rPr>
          <w:rFonts w:hint="eastAsia" w:ascii="华文中宋" w:hAnsi="华文中宋" w:eastAsia="华文中宋"/>
          <w:sz w:val="24"/>
          <w:lang w:eastAsia="zh-CN"/>
        </w:rPr>
        <w:t>按《浙江省财政厅关于进一步发挥政府采购政策 功能全力推动经济稳进提质的通知》（浙财采监〔2022〕3号）等文件要求执行，具体付款方式由双方协商后在合同中明确。</w:t>
      </w:r>
    </w:p>
    <w:p>
      <w:pPr>
        <w:numPr>
          <w:ilvl w:val="0"/>
          <w:numId w:val="2"/>
        </w:numPr>
        <w:snapToGrid w:val="0"/>
        <w:spacing w:before="120" w:beforeLines="50" w:after="120" w:afterLines="50" w:line="360" w:lineRule="auto"/>
        <w:ind w:firstLine="566" w:firstLineChars="236"/>
        <w:rPr>
          <w:rFonts w:hint="eastAsia" w:ascii="华文中宋" w:hAnsi="华文中宋" w:eastAsia="华文中宋"/>
          <w:sz w:val="24"/>
          <w:lang w:eastAsia="zh-CN"/>
        </w:rPr>
      </w:pPr>
      <w:r>
        <w:rPr>
          <w:rFonts w:hint="eastAsia" w:ascii="华文中宋" w:hAnsi="华文中宋" w:eastAsia="华文中宋"/>
          <w:sz w:val="24"/>
          <w:lang w:eastAsia="zh-CN"/>
        </w:rPr>
        <w:t>其他</w:t>
      </w:r>
    </w:p>
    <w:p>
      <w:pPr>
        <w:snapToGrid w:val="0"/>
        <w:spacing w:before="120" w:beforeLines="50" w:after="120" w:afterLines="50" w:line="360" w:lineRule="auto"/>
        <w:ind w:firstLine="566" w:firstLineChars="236"/>
        <w:rPr>
          <w:rFonts w:hint="eastAsia" w:ascii="华文中宋" w:hAnsi="华文中宋" w:eastAsia="华文中宋"/>
          <w:sz w:val="24"/>
          <w:lang w:eastAsia="zh-CN"/>
        </w:rPr>
      </w:pPr>
      <w:r>
        <w:rPr>
          <w:rFonts w:hint="eastAsia" w:ascii="华文中宋" w:hAnsi="华文中宋" w:eastAsia="华文中宋"/>
          <w:sz w:val="24"/>
          <w:lang w:val="en-US" w:eastAsia="zh-CN"/>
        </w:rPr>
        <w:t>1、</w:t>
      </w:r>
      <w:r>
        <w:rPr>
          <w:rFonts w:hint="eastAsia" w:ascii="华文中宋" w:hAnsi="华文中宋" w:eastAsia="华文中宋"/>
          <w:sz w:val="24"/>
          <w:lang w:eastAsia="zh-CN"/>
        </w:rPr>
        <w:t>投标人需为政采云</w:t>
      </w:r>
      <w:r>
        <w:rPr>
          <w:rFonts w:hint="eastAsia" w:ascii="华文中宋" w:hAnsi="华文中宋" w:eastAsia="华文中宋"/>
          <w:sz w:val="24"/>
          <w:lang w:val="en-US" w:eastAsia="zh-CN"/>
        </w:rPr>
        <w:t>--</w:t>
      </w:r>
      <w:r>
        <w:rPr>
          <w:rFonts w:hint="eastAsia" w:ascii="华文中宋" w:hAnsi="华文中宋" w:eastAsia="华文中宋"/>
          <w:sz w:val="24"/>
          <w:lang w:eastAsia="zh-CN"/>
        </w:rPr>
        <w:t>框架协议</w:t>
      </w:r>
      <w:r>
        <w:rPr>
          <w:rFonts w:hint="eastAsia" w:ascii="华文中宋" w:hAnsi="华文中宋" w:eastAsia="华文中宋"/>
          <w:sz w:val="24"/>
          <w:lang w:val="en-US" w:eastAsia="zh-CN"/>
        </w:rPr>
        <w:t>--</w:t>
      </w:r>
      <w:r>
        <w:rPr>
          <w:rFonts w:hint="eastAsia" w:ascii="华文中宋" w:hAnsi="华文中宋" w:eastAsia="华文中宋"/>
          <w:sz w:val="24"/>
          <w:lang w:eastAsia="zh-CN"/>
        </w:rPr>
        <w:t>印刷服务内的供应商（提供政采云</w:t>
      </w:r>
      <w:r>
        <w:rPr>
          <w:rFonts w:hint="eastAsia" w:ascii="华文中宋" w:hAnsi="华文中宋" w:eastAsia="华文中宋"/>
          <w:sz w:val="24"/>
          <w:lang w:eastAsia="zh-CN"/>
        </w:rPr>
        <w:t>上架截图证明）。</w:t>
      </w:r>
    </w:p>
    <w:p>
      <w:pPr>
        <w:snapToGrid w:val="0"/>
        <w:spacing w:before="120" w:beforeLines="50" w:after="120" w:afterLines="50" w:line="360" w:lineRule="auto"/>
        <w:ind w:firstLine="566" w:firstLineChars="236"/>
        <w:rPr>
          <w:rFonts w:hint="default" w:ascii="华文中宋" w:hAnsi="华文中宋" w:eastAsia="华文中宋"/>
          <w:sz w:val="24"/>
          <w:lang w:val="en-US" w:eastAsia="zh-CN"/>
        </w:rPr>
      </w:pPr>
      <w:r>
        <w:rPr>
          <w:rFonts w:hint="eastAsia" w:ascii="华文中宋" w:hAnsi="华文中宋" w:eastAsia="华文中宋"/>
          <w:sz w:val="24"/>
          <w:lang w:val="en-US" w:eastAsia="zh-CN"/>
        </w:rPr>
        <w:t>2、提供至少一份</w:t>
      </w:r>
      <w:r>
        <w:rPr>
          <w:rFonts w:hint="eastAsia" w:ascii="华文中宋" w:hAnsi="华文中宋" w:eastAsia="华文中宋"/>
          <w:sz w:val="24"/>
          <w:lang w:eastAsia="zh-CN"/>
        </w:rPr>
        <w:t>2021年以来（以合同签订时间为准）的同类案例（需提供合同扫描件加盖投标人公章）。</w:t>
      </w:r>
      <w:bookmarkStart w:id="151" w:name="_GoBack"/>
      <w:bookmarkEnd w:id="151"/>
    </w:p>
    <w:p>
      <w:pPr>
        <w:pStyle w:val="3"/>
        <w:rPr>
          <w:rFonts w:hint="eastAsia"/>
        </w:rPr>
      </w:pPr>
    </w:p>
    <w:p>
      <w:pPr>
        <w:snapToGrid w:val="0"/>
        <w:spacing w:before="120" w:beforeLines="50" w:after="120" w:afterLines="50" w:line="360" w:lineRule="auto"/>
        <w:ind w:firstLine="566" w:firstLineChars="236"/>
        <w:rPr>
          <w:rFonts w:hint="eastAsia" w:ascii="华文中宋" w:hAnsi="华文中宋" w:eastAsia="华文中宋"/>
          <w:sz w:val="24"/>
        </w:rPr>
      </w:pPr>
    </w:p>
    <w:p>
      <w:pPr>
        <w:snapToGrid w:val="0"/>
        <w:spacing w:before="120" w:beforeLines="50" w:after="120" w:afterLines="50" w:line="360" w:lineRule="auto"/>
        <w:ind w:firstLine="566" w:firstLineChars="236"/>
        <w:rPr>
          <w:rFonts w:hint="eastAsia" w:ascii="华文中宋" w:hAnsi="华文中宋" w:eastAsia="华文中宋"/>
          <w:sz w:val="24"/>
        </w:rPr>
      </w:pPr>
    </w:p>
    <w:p>
      <w:pPr>
        <w:snapToGrid w:val="0"/>
        <w:spacing w:before="120" w:beforeLines="50" w:after="120" w:afterLines="50" w:line="360" w:lineRule="auto"/>
        <w:ind w:firstLine="566" w:firstLineChars="236"/>
        <w:rPr>
          <w:rFonts w:hint="eastAsia" w:ascii="华文中宋" w:hAnsi="华文中宋" w:eastAsia="华文中宋"/>
          <w:sz w:val="24"/>
        </w:rPr>
      </w:pPr>
    </w:p>
    <w:p>
      <w:pP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br w:type="page"/>
      </w:r>
    </w:p>
    <w:p>
      <w:pPr>
        <w:pStyle w:val="2"/>
        <w:rPr>
          <w:rFonts w:hint="eastAsia"/>
          <w:lang w:val="en-US" w:eastAsia="zh-CN"/>
        </w:rPr>
      </w:pPr>
    </w:p>
    <w:p>
      <w:pPr>
        <w:pStyle w:val="2"/>
        <w:rPr>
          <w:rFonts w:hint="eastAsia" w:ascii="仿宋" w:hAnsi="仿宋" w:eastAsia="仿宋" w:cs="仿宋"/>
          <w:b w:val="0"/>
          <w:bCs w:val="0"/>
          <w:i w:val="0"/>
          <w:iCs w:val="0"/>
          <w:color w:val="auto"/>
          <w:kern w:val="2"/>
          <w:sz w:val="24"/>
          <w:szCs w:val="20"/>
          <w:highlight w:val="none"/>
          <w:vertAlign w:val="baseline"/>
          <w:lang w:val="en-US" w:eastAsia="zh-CN" w:bidi="ar-SA"/>
        </w:rPr>
      </w:pPr>
    </w:p>
    <w:p>
      <w:pPr>
        <w:pStyle w:val="3"/>
        <w:rPr>
          <w:rFonts w:hint="eastAsia" w:ascii="仿宋" w:hAnsi="仿宋" w:eastAsia="仿宋" w:cs="仿宋"/>
          <w:b w:val="0"/>
          <w:bCs w:val="0"/>
          <w:i w:val="0"/>
          <w:iCs w:val="0"/>
          <w:color w:val="auto"/>
          <w:kern w:val="2"/>
          <w:sz w:val="24"/>
          <w:szCs w:val="20"/>
          <w:highlight w:val="none"/>
          <w:vertAlign w:val="baseline"/>
          <w:lang w:val="en-US" w:eastAsia="zh-CN" w:bidi="ar-SA"/>
        </w:rPr>
      </w:pPr>
    </w:p>
    <w:p>
      <w:pPr>
        <w:rPr>
          <w:rFonts w:hint="eastAsia" w:ascii="仿宋" w:hAnsi="仿宋" w:eastAsia="仿宋" w:cs="仿宋"/>
          <w:b w:val="0"/>
          <w:bCs w:val="0"/>
          <w:i w:val="0"/>
          <w:iCs w:val="0"/>
          <w:color w:val="auto"/>
          <w:kern w:val="2"/>
          <w:sz w:val="24"/>
          <w:szCs w:val="20"/>
          <w:highlight w:val="none"/>
          <w:vertAlign w:val="baseline"/>
          <w:lang w:val="en-US" w:eastAsia="zh-CN" w:bidi="ar-SA"/>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5"/>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26" w:name="_Toc15367"/>
      <w:bookmarkStart w:id="27" w:name="_Toc22967"/>
      <w:bookmarkStart w:id="28" w:name="_Toc28855"/>
      <w:bookmarkStart w:id="29" w:name="_Toc20421"/>
      <w:bookmarkStart w:id="30" w:name="_Toc19273"/>
      <w:r>
        <w:rPr>
          <w:rFonts w:hint="eastAsia" w:ascii="仿宋" w:hAnsi="仿宋" w:eastAsia="仿宋" w:cs="仿宋"/>
          <w:b/>
          <w:sz w:val="24"/>
        </w:rPr>
        <w:t>1.1 合同组成部分</w:t>
      </w:r>
      <w:bookmarkEnd w:id="26"/>
      <w:bookmarkEnd w:id="27"/>
      <w:bookmarkEnd w:id="28"/>
      <w:bookmarkEnd w:id="29"/>
      <w:bookmarkEnd w:id="3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31" w:name="_Toc6773"/>
      <w:bookmarkStart w:id="32" w:name="_Toc2918"/>
      <w:bookmarkStart w:id="33" w:name="_Toc18585"/>
      <w:bookmarkStart w:id="34" w:name="_Toc22185"/>
      <w:bookmarkStart w:id="35" w:name="_Toc6311"/>
      <w:r>
        <w:rPr>
          <w:rFonts w:hint="eastAsia" w:ascii="仿宋" w:hAnsi="仿宋" w:eastAsia="仿宋" w:cs="仿宋"/>
          <w:b/>
          <w:sz w:val="24"/>
        </w:rPr>
        <w:t>1.2 标的</w:t>
      </w:r>
      <w:bookmarkEnd w:id="31"/>
      <w:bookmarkEnd w:id="32"/>
      <w:bookmarkEnd w:id="33"/>
      <w:bookmarkEnd w:id="34"/>
      <w:bookmarkEnd w:id="3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36" w:name="_Toc21124"/>
      <w:bookmarkStart w:id="37" w:name="_Toc1386"/>
      <w:bookmarkStart w:id="38" w:name="_Toc4929"/>
      <w:bookmarkStart w:id="39" w:name="_Toc5635"/>
      <w:bookmarkStart w:id="40"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36"/>
      <w:bookmarkEnd w:id="37"/>
      <w:bookmarkEnd w:id="38"/>
      <w:bookmarkEnd w:id="39"/>
      <w:bookmarkEnd w:id="4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41" w:name="_Toc30158"/>
      <w:bookmarkStart w:id="42" w:name="_Toc14993"/>
      <w:bookmarkStart w:id="43" w:name="_Toc26916"/>
      <w:bookmarkStart w:id="44" w:name="_Toc30506"/>
      <w:bookmarkStart w:id="45"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1"/>
    <w:bookmarkEnd w:id="42"/>
    <w:bookmarkEnd w:id="43"/>
    <w:bookmarkEnd w:id="44"/>
    <w:bookmarkEnd w:id="45"/>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46" w:name="_Toc22618"/>
      <w:bookmarkStart w:id="47" w:name="_Toc10340"/>
      <w:bookmarkStart w:id="48" w:name="_Toc1814"/>
      <w:bookmarkStart w:id="49" w:name="_Toc4760"/>
      <w:bookmarkStart w:id="50" w:name="_Toc31421"/>
      <w:bookmarkStart w:id="51" w:name="_Toc3625"/>
      <w:bookmarkStart w:id="52" w:name="_Toc8772"/>
      <w:bookmarkStart w:id="53" w:name="_Toc11108"/>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46"/>
      <w:bookmarkEnd w:id="47"/>
      <w:bookmarkEnd w:id="48"/>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49"/>
      <w:bookmarkEnd w:id="50"/>
      <w:bookmarkEnd w:id="51"/>
      <w:bookmarkEnd w:id="52"/>
      <w:bookmarkEnd w:id="5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54" w:name="_Toc2375"/>
      <w:bookmarkStart w:id="55" w:name="_Toc5698"/>
      <w:bookmarkStart w:id="56" w:name="_Toc8586"/>
      <w:bookmarkStart w:id="57" w:name="_Toc24662"/>
      <w:bookmarkStart w:id="58"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54"/>
      <w:bookmarkEnd w:id="55"/>
      <w:bookmarkEnd w:id="56"/>
      <w:bookmarkEnd w:id="57"/>
      <w:bookmarkEnd w:id="5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9" w:name="_Toc26807"/>
      <w:bookmarkStart w:id="60" w:name="_Toc18683"/>
      <w:bookmarkStart w:id="61" w:name="_Toc32454"/>
      <w:bookmarkStart w:id="62" w:name="_Toc30329"/>
      <w:bookmarkStart w:id="63"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59"/>
    <w:bookmarkEnd w:id="60"/>
    <w:bookmarkEnd w:id="61"/>
    <w:bookmarkEnd w:id="62"/>
    <w:bookmarkEnd w:id="63"/>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4" w:name="_Toc16021"/>
      <w:bookmarkStart w:id="65" w:name="_Toc15583"/>
      <w:bookmarkStart w:id="66" w:name="_Toc28375"/>
      <w:r>
        <w:rPr>
          <w:rFonts w:hint="eastAsia" w:ascii="仿宋" w:hAnsi="仿宋" w:eastAsia="仿宋" w:cs="仿宋"/>
          <w:b/>
          <w:sz w:val="24"/>
        </w:rPr>
        <w:t>1.9合同争议的解决</w:t>
      </w:r>
      <w:bookmarkEnd w:id="64"/>
      <w:bookmarkEnd w:id="65"/>
      <w:bookmarkEnd w:id="6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7" w:name="_Toc11173"/>
      <w:bookmarkStart w:id="68" w:name="_Toc15322"/>
      <w:bookmarkStart w:id="69" w:name="_Toc7245"/>
      <w:r>
        <w:rPr>
          <w:rFonts w:hint="eastAsia" w:ascii="仿宋" w:hAnsi="仿宋" w:eastAsia="仿宋" w:cs="仿宋"/>
          <w:b/>
          <w:sz w:val="24"/>
        </w:rPr>
        <w:t>2.0 合同生效</w:t>
      </w:r>
      <w:bookmarkEnd w:id="67"/>
      <w:bookmarkEnd w:id="68"/>
      <w:bookmarkEnd w:id="6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left="0" w:leftChars="0" w:firstLine="482" w:firstLineChars="200"/>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70" w:name="_Toc31297"/>
      <w:bookmarkStart w:id="71" w:name="_Toc19680"/>
      <w:bookmarkStart w:id="72" w:name="_Toc25079"/>
      <w:bookmarkStart w:id="73" w:name="_Toc14021"/>
      <w:bookmarkStart w:id="74" w:name="_Toc5228"/>
      <w:r>
        <w:rPr>
          <w:rFonts w:hint="eastAsia" w:ascii="仿宋" w:hAnsi="仿宋" w:eastAsia="仿宋" w:cs="仿宋"/>
          <w:b/>
          <w:sz w:val="24"/>
        </w:rPr>
        <w:t>2.1 定义</w:t>
      </w:r>
      <w:bookmarkEnd w:id="70"/>
      <w:bookmarkEnd w:id="71"/>
      <w:bookmarkEnd w:id="72"/>
      <w:bookmarkEnd w:id="73"/>
      <w:bookmarkEnd w:id="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75" w:name="_Toc23289"/>
      <w:bookmarkStart w:id="76" w:name="_Toc19539"/>
      <w:bookmarkStart w:id="77" w:name="_Toc16752"/>
      <w:bookmarkStart w:id="78" w:name="_Toc3769"/>
      <w:bookmarkStart w:id="79" w:name="_Toc31402"/>
      <w:r>
        <w:rPr>
          <w:rFonts w:hint="eastAsia" w:ascii="仿宋" w:hAnsi="仿宋" w:eastAsia="仿宋" w:cs="仿宋"/>
          <w:b/>
          <w:sz w:val="24"/>
        </w:rPr>
        <w:t>2.2 技术规范</w:t>
      </w:r>
      <w:bookmarkEnd w:id="75"/>
      <w:bookmarkEnd w:id="76"/>
      <w:bookmarkEnd w:id="77"/>
      <w:bookmarkEnd w:id="78"/>
      <w:bookmarkEnd w:id="7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0" w:name="_Toc9161"/>
      <w:bookmarkStart w:id="81" w:name="_Toc27945"/>
      <w:bookmarkStart w:id="82" w:name="_Toc12412"/>
      <w:bookmarkStart w:id="83" w:name="_Toc13673"/>
      <w:bookmarkStart w:id="84" w:name="_Toc4133"/>
      <w:r>
        <w:rPr>
          <w:rFonts w:hint="eastAsia" w:ascii="仿宋" w:hAnsi="仿宋" w:eastAsia="仿宋" w:cs="仿宋"/>
          <w:b/>
          <w:sz w:val="24"/>
        </w:rPr>
        <w:t>2.3 知识产权</w:t>
      </w:r>
      <w:bookmarkEnd w:id="80"/>
      <w:bookmarkEnd w:id="81"/>
      <w:bookmarkEnd w:id="82"/>
      <w:bookmarkEnd w:id="83"/>
      <w:bookmarkEnd w:id="8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85" w:name="_Toc15447"/>
      <w:bookmarkStart w:id="86" w:name="_Toc26555"/>
      <w:bookmarkStart w:id="87" w:name="_Toc22011"/>
      <w:bookmarkStart w:id="88" w:name="_Toc31233"/>
      <w:bookmarkStart w:id="89" w:name="_Toc32670"/>
      <w:r>
        <w:rPr>
          <w:rFonts w:hint="eastAsia" w:ascii="仿宋" w:hAnsi="仿宋" w:eastAsia="仿宋" w:cs="仿宋"/>
          <w:b/>
          <w:sz w:val="24"/>
        </w:rPr>
        <w:t>2.5 结算方式和付款条件</w:t>
      </w:r>
      <w:bookmarkEnd w:id="85"/>
      <w:bookmarkEnd w:id="86"/>
      <w:bookmarkEnd w:id="87"/>
      <w:bookmarkEnd w:id="88"/>
      <w:bookmarkEnd w:id="8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0" w:name="_Toc16163"/>
      <w:bookmarkStart w:id="91" w:name="_Toc13467"/>
      <w:bookmarkStart w:id="92" w:name="_Toc18990"/>
      <w:bookmarkStart w:id="93" w:name="_Toc13154"/>
      <w:bookmarkStart w:id="94" w:name="_Toc30507"/>
      <w:r>
        <w:rPr>
          <w:rFonts w:hint="eastAsia" w:ascii="仿宋" w:hAnsi="仿宋" w:eastAsia="仿宋" w:cs="仿宋"/>
          <w:b/>
          <w:sz w:val="24"/>
        </w:rPr>
        <w:t>2.6 技术资料和保密义务</w:t>
      </w:r>
      <w:bookmarkEnd w:id="90"/>
      <w:bookmarkEnd w:id="91"/>
      <w:bookmarkEnd w:id="92"/>
      <w:bookmarkEnd w:id="93"/>
      <w:bookmarkEnd w:id="9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95" w:name="_Toc19069"/>
      <w:r>
        <w:rPr>
          <w:rFonts w:hint="eastAsia" w:ascii="仿宋" w:hAnsi="仿宋" w:eastAsia="仿宋" w:cs="仿宋"/>
          <w:b/>
          <w:sz w:val="24"/>
        </w:rPr>
        <w:t>2.7 质量保证</w:t>
      </w:r>
      <w:bookmarkEnd w:id="9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96" w:name="_Toc22267"/>
      <w:r>
        <w:rPr>
          <w:rFonts w:hint="eastAsia" w:ascii="仿宋" w:hAnsi="仿宋" w:eastAsia="仿宋" w:cs="仿宋"/>
          <w:b/>
          <w:sz w:val="24"/>
        </w:rPr>
        <w:t>2.8 延迟履行</w:t>
      </w:r>
      <w:bookmarkEnd w:id="9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97" w:name="_Toc10611"/>
      <w:r>
        <w:rPr>
          <w:rFonts w:hint="eastAsia" w:ascii="仿宋" w:hAnsi="仿宋" w:eastAsia="仿宋" w:cs="仿宋"/>
          <w:b/>
          <w:sz w:val="24"/>
        </w:rPr>
        <w:t>2.9 合同变更</w:t>
      </w:r>
      <w:bookmarkEnd w:id="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98" w:name="_Toc21830"/>
      <w:bookmarkStart w:id="99" w:name="_Toc10663"/>
      <w:bookmarkStart w:id="100" w:name="_Toc42"/>
      <w:bookmarkStart w:id="101" w:name="_Toc26689"/>
      <w:bookmarkStart w:id="102" w:name="_Toc23368"/>
      <w:r>
        <w:rPr>
          <w:rFonts w:hint="eastAsia" w:ascii="仿宋" w:hAnsi="仿宋" w:eastAsia="仿宋" w:cs="仿宋"/>
          <w:b/>
          <w:sz w:val="24"/>
        </w:rPr>
        <w:t>2.10 合同转让和分包</w:t>
      </w:r>
      <w:bookmarkEnd w:id="98"/>
      <w:bookmarkEnd w:id="99"/>
      <w:bookmarkEnd w:id="100"/>
      <w:bookmarkEnd w:id="101"/>
      <w:bookmarkEnd w:id="10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03" w:name="_Toc4720"/>
      <w:bookmarkStart w:id="104" w:name="_Toc14371"/>
      <w:bookmarkStart w:id="105" w:name="_Toc32494"/>
      <w:bookmarkStart w:id="106" w:name="_Toc25571"/>
      <w:bookmarkStart w:id="107" w:name="_Toc26633"/>
      <w:r>
        <w:rPr>
          <w:rFonts w:hint="eastAsia" w:ascii="仿宋" w:hAnsi="仿宋" w:eastAsia="仿宋" w:cs="仿宋"/>
          <w:b/>
          <w:sz w:val="24"/>
        </w:rPr>
        <w:t>2.11 不可抗力</w:t>
      </w:r>
      <w:bookmarkEnd w:id="103"/>
      <w:bookmarkEnd w:id="104"/>
      <w:bookmarkEnd w:id="105"/>
      <w:bookmarkEnd w:id="106"/>
      <w:bookmarkEnd w:id="10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08" w:name="_Toc25783"/>
      <w:bookmarkStart w:id="109" w:name="_Toc23854"/>
      <w:bookmarkStart w:id="110" w:name="_Toc24465"/>
      <w:bookmarkStart w:id="111" w:name="_Toc3638"/>
      <w:bookmarkStart w:id="112" w:name="_Toc14115"/>
      <w:r>
        <w:rPr>
          <w:rFonts w:hint="eastAsia" w:ascii="仿宋" w:hAnsi="仿宋" w:eastAsia="仿宋" w:cs="仿宋"/>
          <w:b/>
          <w:sz w:val="24"/>
        </w:rPr>
        <w:t>2.12 税费</w:t>
      </w:r>
      <w:bookmarkEnd w:id="108"/>
      <w:bookmarkEnd w:id="109"/>
      <w:bookmarkEnd w:id="110"/>
      <w:bookmarkEnd w:id="111"/>
      <w:bookmarkEnd w:id="1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13" w:name="_Toc14814"/>
      <w:bookmarkStart w:id="114" w:name="_Toc7315"/>
      <w:bookmarkStart w:id="115" w:name="_Toc26883"/>
      <w:bookmarkStart w:id="116" w:name="_Toc30105"/>
      <w:bookmarkStart w:id="117" w:name="_Toc25525"/>
      <w:r>
        <w:rPr>
          <w:rFonts w:hint="eastAsia" w:ascii="仿宋" w:hAnsi="仿宋" w:eastAsia="仿宋" w:cs="仿宋"/>
          <w:b/>
          <w:sz w:val="24"/>
        </w:rPr>
        <w:t>2.13 乙方破产</w:t>
      </w:r>
      <w:bookmarkEnd w:id="113"/>
      <w:bookmarkEnd w:id="114"/>
      <w:bookmarkEnd w:id="115"/>
      <w:bookmarkEnd w:id="116"/>
      <w:bookmarkEnd w:id="1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18" w:name="_Toc2016"/>
      <w:bookmarkStart w:id="119" w:name="_Toc1123"/>
      <w:bookmarkStart w:id="120" w:name="_Toc23323"/>
      <w:r>
        <w:rPr>
          <w:rFonts w:hint="eastAsia" w:ascii="仿宋" w:hAnsi="仿宋" w:eastAsia="仿宋" w:cs="仿宋"/>
          <w:b/>
          <w:sz w:val="24"/>
        </w:rPr>
        <w:t>2.14 合同中止、终止</w:t>
      </w:r>
      <w:bookmarkEnd w:id="118"/>
      <w:bookmarkEnd w:id="119"/>
      <w:bookmarkEnd w:id="1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21" w:name="_Toc17363"/>
      <w:bookmarkStart w:id="122" w:name="_Toc14525"/>
      <w:bookmarkStart w:id="123" w:name="_Toc1969"/>
      <w:r>
        <w:rPr>
          <w:rFonts w:hint="eastAsia" w:ascii="仿宋" w:hAnsi="仿宋" w:eastAsia="仿宋" w:cs="仿宋"/>
          <w:b/>
          <w:sz w:val="24"/>
        </w:rPr>
        <w:t>2.15 检验和验收</w:t>
      </w:r>
      <w:bookmarkEnd w:id="121"/>
      <w:bookmarkEnd w:id="122"/>
      <w:bookmarkEnd w:id="123"/>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24" w:name="_Toc2308"/>
      <w:bookmarkStart w:id="125" w:name="_Toc31892"/>
      <w:bookmarkStart w:id="126" w:name="_Toc12666"/>
      <w:bookmarkStart w:id="127" w:name="_Toc9808"/>
      <w:bookmarkStart w:id="128" w:name="_Toc25198"/>
      <w:r>
        <w:rPr>
          <w:rFonts w:hint="eastAsia" w:ascii="仿宋" w:hAnsi="仿宋" w:eastAsia="仿宋" w:cs="仿宋"/>
          <w:b/>
          <w:sz w:val="24"/>
        </w:rPr>
        <w:t>2.16 通知和送达</w:t>
      </w:r>
      <w:bookmarkEnd w:id="124"/>
      <w:bookmarkEnd w:id="125"/>
      <w:bookmarkEnd w:id="126"/>
      <w:bookmarkEnd w:id="127"/>
      <w:bookmarkEnd w:id="128"/>
    </w:p>
    <w:p>
      <w:pPr>
        <w:spacing w:line="560" w:lineRule="exact"/>
        <w:ind w:firstLine="480" w:firstLineChars="200"/>
        <w:rPr>
          <w:rFonts w:hint="eastAsia" w:ascii="仿宋" w:hAnsi="仿宋" w:eastAsia="仿宋" w:cs="仿宋"/>
          <w:sz w:val="24"/>
        </w:rPr>
      </w:pPr>
      <w:bookmarkStart w:id="129" w:name="_Toc18401"/>
      <w:bookmarkStart w:id="130"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9"/>
      <w:bookmarkEnd w:id="130"/>
    </w:p>
    <w:p>
      <w:pPr>
        <w:spacing w:line="560" w:lineRule="exact"/>
        <w:ind w:firstLine="482" w:firstLineChars="200"/>
        <w:outlineLvl w:val="0"/>
        <w:rPr>
          <w:rFonts w:hint="eastAsia" w:ascii="仿宋" w:hAnsi="仿宋" w:eastAsia="仿宋" w:cs="仿宋"/>
          <w:b/>
          <w:sz w:val="24"/>
        </w:rPr>
      </w:pPr>
      <w:bookmarkStart w:id="131" w:name="_Toc5063"/>
      <w:bookmarkStart w:id="132" w:name="_Toc28906"/>
      <w:bookmarkStart w:id="133" w:name="_Toc12254"/>
      <w:bookmarkStart w:id="134" w:name="_Toc20808"/>
      <w:bookmarkStart w:id="135" w:name="_Toc27644"/>
      <w:r>
        <w:rPr>
          <w:rFonts w:hint="eastAsia" w:ascii="仿宋" w:hAnsi="仿宋" w:eastAsia="仿宋" w:cs="仿宋"/>
          <w:b/>
          <w:sz w:val="24"/>
        </w:rPr>
        <w:t>2.17 合同使用的文字和适用的法律</w:t>
      </w:r>
      <w:bookmarkEnd w:id="131"/>
      <w:bookmarkEnd w:id="132"/>
      <w:bookmarkEnd w:id="133"/>
      <w:bookmarkEnd w:id="134"/>
      <w:bookmarkEnd w:id="13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36" w:name="_Toc30599"/>
      <w:bookmarkStart w:id="137" w:name="_Toc4355"/>
      <w:bookmarkStart w:id="138" w:name="_Toc18540"/>
      <w:r>
        <w:rPr>
          <w:rFonts w:hint="eastAsia" w:ascii="仿宋" w:hAnsi="仿宋" w:eastAsia="仿宋" w:cs="仿宋"/>
          <w:b/>
          <w:sz w:val="24"/>
        </w:rPr>
        <w:t>2.18 计量单位</w:t>
      </w:r>
      <w:bookmarkEnd w:id="136"/>
      <w:bookmarkEnd w:id="137"/>
      <w:bookmarkEnd w:id="13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39" w:name="_Toc18567"/>
      <w:bookmarkStart w:id="140" w:name="_Toc259093692"/>
      <w:bookmarkStart w:id="141" w:name="_Toc487900373"/>
      <w:bookmarkStart w:id="142" w:name="_Toc12773"/>
      <w:bookmarkStart w:id="143" w:name="_Toc279701263"/>
      <w:bookmarkStart w:id="144" w:name="_Toc10330"/>
      <w:r>
        <w:rPr>
          <w:rFonts w:hint="eastAsia" w:ascii="仿宋" w:hAnsi="仿宋" w:eastAsia="仿宋" w:cs="仿宋"/>
          <w:b/>
          <w:sz w:val="24"/>
        </w:rPr>
        <w:t>2.19 合同使用的文字和适用的法律</w:t>
      </w:r>
      <w:bookmarkEnd w:id="139"/>
      <w:bookmarkEnd w:id="140"/>
      <w:bookmarkEnd w:id="141"/>
      <w:bookmarkEnd w:id="142"/>
      <w:bookmarkEnd w:id="143"/>
      <w:bookmarkEnd w:id="14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45" w:name="_Toc331685784"/>
      <w:r>
        <w:rPr>
          <w:rFonts w:hint="eastAsia" w:ascii="仿宋" w:hAnsi="仿宋" w:eastAsia="仿宋" w:cs="仿宋"/>
          <w:b/>
          <w:sz w:val="24"/>
        </w:rPr>
        <w:t xml:space="preserve"> </w:t>
      </w:r>
      <w:bookmarkEnd w:id="145"/>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tabs>
          <w:tab w:val="left" w:pos="360"/>
          <w:tab w:val="left" w:pos="540"/>
          <w:tab w:val="left" w:pos="1080"/>
        </w:tabs>
        <w:spacing w:line="560" w:lineRule="exact"/>
        <w:ind w:firstLine="482" w:firstLineChars="200"/>
        <w:rPr>
          <w:rFonts w:hint="eastAsia" w:ascii="仿宋" w:hAnsi="仿宋" w:eastAsia="仿宋" w:cs="仿宋"/>
          <w:b/>
          <w:bCs/>
          <w:sz w:val="24"/>
        </w:rPr>
      </w:pPr>
      <w:r>
        <w:rPr>
          <w:rFonts w:hint="eastAsia" w:ascii="仿宋" w:hAnsi="仿宋" w:eastAsia="仿宋" w:cs="仿宋"/>
          <w:b/>
          <w:bCs/>
          <w:sz w:val="24"/>
        </w:rPr>
        <w:t>本次评标采用</w:t>
      </w:r>
      <w:r>
        <w:rPr>
          <w:rFonts w:hint="eastAsia" w:ascii="仿宋" w:hAnsi="仿宋" w:eastAsia="仿宋" w:cs="仿宋"/>
          <w:b/>
          <w:bCs/>
          <w:sz w:val="24"/>
          <w:lang w:eastAsia="zh-CN"/>
        </w:rPr>
        <w:t>合理</w:t>
      </w:r>
      <w:r>
        <w:rPr>
          <w:rFonts w:hint="eastAsia" w:ascii="仿宋" w:hAnsi="仿宋" w:eastAsia="仿宋" w:cs="仿宋"/>
          <w:b/>
          <w:bCs/>
          <w:sz w:val="24"/>
        </w:rPr>
        <w:t>最低评标价法。</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开标后，评标委员会首先对投标文件进行符合性审查，凡投标文件实质性内容和授权书格式严重不符合有关规定或不响应招标文件要求者，由评标委员会认定作为无效投标予以废除。对投标文件中的疑问，由评标委员会对投标人进行询标，投标人做出的书面答复作为投标文件的补充，但不得对投标文件的实质性内容进行修改。</w:t>
      </w:r>
    </w:p>
    <w:p>
      <w:pPr>
        <w:tabs>
          <w:tab w:val="left" w:pos="360"/>
          <w:tab w:val="left" w:pos="540"/>
          <w:tab w:val="left" w:pos="1080"/>
        </w:tabs>
        <w:spacing w:line="560" w:lineRule="exact"/>
        <w:ind w:firstLine="480" w:firstLineChars="200"/>
        <w:rPr>
          <w:rFonts w:hint="eastAsia" w:ascii="仿宋" w:hAnsi="仿宋" w:eastAsia="仿宋" w:cs="仿宋"/>
          <w:sz w:val="24"/>
          <w:lang w:eastAsia="zh-CN"/>
        </w:rPr>
      </w:pPr>
      <w:r>
        <w:rPr>
          <w:rFonts w:hint="eastAsia" w:ascii="仿宋" w:hAnsi="仿宋" w:eastAsia="仿宋" w:cs="仿宋"/>
          <w:sz w:val="24"/>
        </w:rPr>
        <w:t>最终有效投标人不足3家的，</w:t>
      </w:r>
      <w:r>
        <w:rPr>
          <w:rFonts w:hint="eastAsia" w:ascii="仿宋" w:hAnsi="仿宋" w:eastAsia="仿宋" w:cs="仿宋"/>
          <w:sz w:val="24"/>
          <w:lang w:eastAsia="zh-CN"/>
        </w:rPr>
        <w:t>按馆小型项目采购管理办法执行。</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评标委员会以开标、审标、询标情况为基本依据</w:t>
      </w:r>
      <w:r>
        <w:rPr>
          <w:rFonts w:hint="eastAsia" w:ascii="仿宋" w:hAnsi="仿宋" w:eastAsia="仿宋" w:cs="仿宋"/>
          <w:sz w:val="24"/>
          <w:lang w:eastAsia="zh-CN"/>
        </w:rPr>
        <w:t>中标方式</w:t>
      </w:r>
      <w:r>
        <w:rPr>
          <w:rFonts w:hint="eastAsia" w:ascii="仿宋" w:hAnsi="仿宋" w:eastAsia="仿宋" w:cs="仿宋"/>
          <w:sz w:val="24"/>
        </w:rPr>
        <w:t>，对有效的投标文件进行分析、评议，在所有有效报价中，以最低报价者为第一中标候选人。当最低报价出现并列时，由招标人当场抽签选定第一中标候选人。由招标人按照中标侯选人的排序依法确定中标人。当确定中标的中标侯选人放弃中标，或者因不可抗力提出不能履行合同的，或者因弄虚作假等原因被取消中标资格的，招标人将重新组织招标。</w:t>
      </w:r>
    </w:p>
    <w:p>
      <w:pPr>
        <w:widowControl/>
        <w:adjustRightInd/>
        <w:jc w:val="cente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pStyle w:val="25"/>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24"/>
      <w:r>
        <w:rPr>
          <w:rFonts w:hint="eastAsia" w:ascii="仿宋" w:hAnsi="仿宋" w:eastAsia="仿宋" w:cs="仿宋"/>
          <w:b/>
          <w:sz w:val="36"/>
          <w:szCs w:val="20"/>
        </w:rPr>
        <w:t xml:space="preserve"> </w:t>
      </w:r>
      <w:bookmarkEnd w:id="25"/>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pStyle w:val="2"/>
        <w:rPr>
          <w:rFonts w:hint="eastAsia" w:ascii="仿宋" w:hAnsi="仿宋" w:eastAsia="仿宋" w:cs="仿宋"/>
          <w:b/>
          <w:kern w:val="0"/>
          <w:sz w:val="24"/>
        </w:rPr>
      </w:pPr>
    </w:p>
    <w:p>
      <w:pPr>
        <w:pStyle w:val="3"/>
        <w:rPr>
          <w:rFonts w:hint="eastAsia" w:ascii="仿宋" w:hAnsi="仿宋" w:eastAsia="仿宋" w:cs="仿宋"/>
          <w:b/>
          <w:kern w:val="0"/>
          <w:sz w:val="24"/>
        </w:rPr>
      </w:pPr>
    </w:p>
    <w:p>
      <w:pPr>
        <w:rPr>
          <w:rFonts w:hint="eastAsia"/>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2"/>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39.4pt;width:405.8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rPr>
        <w:object>
          <v:shape id="_x0000_i1026" o:spt="75" type="#_x0000_t75" style="height:39.4pt;width:403.8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2"/>
        <w:rPr>
          <w:rFonts w:hint="eastAsia"/>
          <w:lang w:eastAsia="zh-CN"/>
        </w:rPr>
      </w:pPr>
    </w:p>
    <w:p>
      <w:pPr>
        <w:rPr>
          <w:rFonts w:hint="eastAsia"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br w:type="page"/>
      </w: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2"/>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2"/>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
        <w:rPr>
          <w:rFonts w:hint="eastAsia"/>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5"/>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ascii="仿宋" w:hAnsi="仿宋" w:eastAsia="仿宋" w:cs="仿宋"/>
          <w:b/>
          <w:color w:val="auto"/>
          <w:sz w:val="24"/>
        </w:rPr>
      </w:pP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lang w:eastAsia="zh-CN"/>
        </w:rPr>
      </w:pP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46" w:name="_Hlk101131882"/>
      <w:r>
        <w:rPr>
          <w:rFonts w:hint="eastAsia" w:ascii="仿宋" w:hAnsi="仿宋" w:eastAsia="仿宋" w:cs="仿宋"/>
          <w:kern w:val="0"/>
          <w:sz w:val="24"/>
          <w:u w:val="single"/>
        </w:rPr>
        <w:t>联合体成员X,……</w:t>
      </w:r>
      <w:bookmarkEnd w:id="14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4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47"/>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4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48"/>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49" w:name="OLE_LINK13"/>
      <w:bookmarkStart w:id="150" w:name="OLE_LINK14"/>
      <w:r>
        <w:rPr>
          <w:rFonts w:hint="eastAsia" w:ascii="仿宋" w:hAnsi="仿宋" w:eastAsia="仿宋" w:cs="仿宋"/>
          <w:b/>
          <w:spacing w:val="6"/>
          <w:sz w:val="32"/>
          <w:szCs w:val="32"/>
        </w:rPr>
        <w:t>残疾人福利性单位声明函</w:t>
      </w:r>
    </w:p>
    <w:bookmarkEnd w:id="149"/>
    <w:bookmarkEnd w:id="150"/>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5"/>
        <w:rPr>
          <w:rFonts w:hint="eastAsia" w:ascii="仿宋" w:hAnsi="仿宋" w:eastAsia="仿宋" w:cs="仿宋"/>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5"/>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wordWrap w:val="0"/>
      <w:jc w:val="both"/>
      <w:rPr>
        <w:rFonts w:hint="default" w:ascii="仿宋_GB2312" w:eastAsia="仿宋_GB2312"/>
        <w:b w:val="0"/>
        <w:i/>
        <w:sz w:val="18"/>
        <w:u w:val="single"/>
        <w:lang w:val="en-US"/>
      </w:rPr>
    </w:pPr>
    <w:r>
      <w:rPr>
        <w:rFonts w:hint="eastAsia" w:ascii="仿宋" w:hAnsi="仿宋" w:eastAsia="仿宋" w:cs="仿宋"/>
        <w:lang w:eastAsia="zh-CN"/>
      </w:rPr>
      <w:t>2024年5-12月《信息与参考》等刊物印刷制作</w:t>
    </w:r>
    <w:r>
      <w:rPr>
        <w:rFonts w:hint="eastAsia" w:ascii="仿宋" w:hAnsi="仿宋" w:eastAsia="仿宋" w:cs="仿宋"/>
        <w:lang w:val="en-US" w:eastAsia="zh-CN"/>
      </w:rPr>
      <w:t xml:space="preserve">                       招标</w:t>
    </w:r>
    <w:r>
      <w:rPr>
        <w:rFonts w:hint="eastAsia" w:ascii="仿宋" w:hAnsi="仿宋" w:eastAsia="仿宋" w:cs="仿宋"/>
      </w:rPr>
      <w:t>编号: SXTSG-ZB-202</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1"/>
      </w:pBdr>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p>
    <w:pPr>
      <w:pStyle w:val="43"/>
      <w:pBdr>
        <w:bottom w:val="none" w:color="auto" w:sz="0" w:space="0"/>
      </w:pBdr>
      <w:tabs>
        <w:tab w:val="clear" w:pos="4153"/>
        <w:tab w:val="clear" w:pos="8306"/>
      </w:tabs>
      <w:ind w:firstLine="519" w:firstLineChars="0"/>
      <w:jc w:val="both"/>
    </w:pP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38E92"/>
    <w:multiLevelType w:val="singleLevel"/>
    <w:tmpl w:val="C5638E92"/>
    <w:lvl w:ilvl="0" w:tentative="0">
      <w:start w:val="6"/>
      <w:numFmt w:val="chineseCounting"/>
      <w:suff w:val="nothing"/>
      <w:lvlText w:val="%1、"/>
      <w:lvlJc w:val="left"/>
      <w:rPr>
        <w:rFonts w:hint="eastAsia"/>
      </w:rPr>
    </w:lvl>
  </w:abstractNum>
  <w:abstractNum w:abstractNumId="1">
    <w:nsid w:val="C697B10C"/>
    <w:multiLevelType w:val="singleLevel"/>
    <w:tmpl w:val="C697B10C"/>
    <w:lvl w:ilvl="0" w:tentative="0">
      <w:start w:val="5"/>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7ED4"/>
    <w:rsid w:val="00B34AC1"/>
    <w:rsid w:val="00E05779"/>
    <w:rsid w:val="01896348"/>
    <w:rsid w:val="02815AD4"/>
    <w:rsid w:val="02AB4E2D"/>
    <w:rsid w:val="031F3CB8"/>
    <w:rsid w:val="036B54F7"/>
    <w:rsid w:val="043238C1"/>
    <w:rsid w:val="05E07992"/>
    <w:rsid w:val="060469E3"/>
    <w:rsid w:val="06384F4C"/>
    <w:rsid w:val="06560322"/>
    <w:rsid w:val="06565CEC"/>
    <w:rsid w:val="068A4C3A"/>
    <w:rsid w:val="06E707EB"/>
    <w:rsid w:val="074B6AD9"/>
    <w:rsid w:val="07F32068"/>
    <w:rsid w:val="08624967"/>
    <w:rsid w:val="088F0800"/>
    <w:rsid w:val="089B5E99"/>
    <w:rsid w:val="08DD4097"/>
    <w:rsid w:val="09E0316B"/>
    <w:rsid w:val="0A7C7A9F"/>
    <w:rsid w:val="0A835537"/>
    <w:rsid w:val="0AA92EE7"/>
    <w:rsid w:val="0ACE0216"/>
    <w:rsid w:val="0B2129E3"/>
    <w:rsid w:val="0B4A3702"/>
    <w:rsid w:val="0B55023E"/>
    <w:rsid w:val="0B8D2D06"/>
    <w:rsid w:val="0B9C4EC3"/>
    <w:rsid w:val="0BF50639"/>
    <w:rsid w:val="0C33540E"/>
    <w:rsid w:val="0CAD2216"/>
    <w:rsid w:val="0CCE61A2"/>
    <w:rsid w:val="0D5C1C70"/>
    <w:rsid w:val="0E0A0C1B"/>
    <w:rsid w:val="0E3A689B"/>
    <w:rsid w:val="0F096B8F"/>
    <w:rsid w:val="0F192FCF"/>
    <w:rsid w:val="0F63063F"/>
    <w:rsid w:val="0FB1096A"/>
    <w:rsid w:val="10052781"/>
    <w:rsid w:val="102A149F"/>
    <w:rsid w:val="10745298"/>
    <w:rsid w:val="107C665E"/>
    <w:rsid w:val="10D9414B"/>
    <w:rsid w:val="112A3086"/>
    <w:rsid w:val="121209F5"/>
    <w:rsid w:val="1256686B"/>
    <w:rsid w:val="129545EE"/>
    <w:rsid w:val="12BC24AE"/>
    <w:rsid w:val="12F2345B"/>
    <w:rsid w:val="13E65C98"/>
    <w:rsid w:val="13FC3DA2"/>
    <w:rsid w:val="148A7BD3"/>
    <w:rsid w:val="150C41BD"/>
    <w:rsid w:val="15101156"/>
    <w:rsid w:val="154F1BF0"/>
    <w:rsid w:val="1554389F"/>
    <w:rsid w:val="15A86D39"/>
    <w:rsid w:val="15AE70D2"/>
    <w:rsid w:val="15D14C0E"/>
    <w:rsid w:val="162A5A51"/>
    <w:rsid w:val="1644025A"/>
    <w:rsid w:val="167E1C67"/>
    <w:rsid w:val="16BF06D2"/>
    <w:rsid w:val="17EC06BE"/>
    <w:rsid w:val="17F85E39"/>
    <w:rsid w:val="181071DA"/>
    <w:rsid w:val="181D3702"/>
    <w:rsid w:val="18C21C04"/>
    <w:rsid w:val="18E60774"/>
    <w:rsid w:val="193B2763"/>
    <w:rsid w:val="19D46C8A"/>
    <w:rsid w:val="1A1F4D3A"/>
    <w:rsid w:val="1A7762D9"/>
    <w:rsid w:val="1CB048A3"/>
    <w:rsid w:val="1CCB103A"/>
    <w:rsid w:val="1D2F1C3B"/>
    <w:rsid w:val="1D5F004E"/>
    <w:rsid w:val="1EE557B2"/>
    <w:rsid w:val="1FCE279C"/>
    <w:rsid w:val="203C66B1"/>
    <w:rsid w:val="21792511"/>
    <w:rsid w:val="21CB5FDB"/>
    <w:rsid w:val="22437405"/>
    <w:rsid w:val="224D36DF"/>
    <w:rsid w:val="225760D0"/>
    <w:rsid w:val="23187827"/>
    <w:rsid w:val="23532DAB"/>
    <w:rsid w:val="23701B1D"/>
    <w:rsid w:val="239A2562"/>
    <w:rsid w:val="23CC091D"/>
    <w:rsid w:val="23DE1F0F"/>
    <w:rsid w:val="24C55199"/>
    <w:rsid w:val="24C72787"/>
    <w:rsid w:val="258B35FD"/>
    <w:rsid w:val="26030452"/>
    <w:rsid w:val="262E2112"/>
    <w:rsid w:val="267F4C59"/>
    <w:rsid w:val="2690694E"/>
    <w:rsid w:val="26CB27B5"/>
    <w:rsid w:val="275F1500"/>
    <w:rsid w:val="28066762"/>
    <w:rsid w:val="28F15CCD"/>
    <w:rsid w:val="28F801F1"/>
    <w:rsid w:val="294C7FDA"/>
    <w:rsid w:val="29D05B5F"/>
    <w:rsid w:val="2A200DBA"/>
    <w:rsid w:val="2A44467F"/>
    <w:rsid w:val="2AF84A3A"/>
    <w:rsid w:val="2B15128D"/>
    <w:rsid w:val="2B9B53E9"/>
    <w:rsid w:val="2BAB13A7"/>
    <w:rsid w:val="2BBA7E1C"/>
    <w:rsid w:val="2C035C27"/>
    <w:rsid w:val="2C25089E"/>
    <w:rsid w:val="2C6E16E1"/>
    <w:rsid w:val="2CFF26A9"/>
    <w:rsid w:val="2D960EC3"/>
    <w:rsid w:val="2E012709"/>
    <w:rsid w:val="2E177FAA"/>
    <w:rsid w:val="2F314C34"/>
    <w:rsid w:val="2F615865"/>
    <w:rsid w:val="30005CE3"/>
    <w:rsid w:val="303F1134"/>
    <w:rsid w:val="308A2DF5"/>
    <w:rsid w:val="30A30893"/>
    <w:rsid w:val="30CD01D9"/>
    <w:rsid w:val="31847309"/>
    <w:rsid w:val="32645019"/>
    <w:rsid w:val="338A4697"/>
    <w:rsid w:val="33BD08F7"/>
    <w:rsid w:val="33DC5117"/>
    <w:rsid w:val="343D66DD"/>
    <w:rsid w:val="34B963A8"/>
    <w:rsid w:val="35867B0D"/>
    <w:rsid w:val="365F6463"/>
    <w:rsid w:val="367219E1"/>
    <w:rsid w:val="36750368"/>
    <w:rsid w:val="36917B74"/>
    <w:rsid w:val="382D2D4A"/>
    <w:rsid w:val="390F2E62"/>
    <w:rsid w:val="392673DE"/>
    <w:rsid w:val="39390455"/>
    <w:rsid w:val="393D6B70"/>
    <w:rsid w:val="39610CB2"/>
    <w:rsid w:val="3A3C2841"/>
    <w:rsid w:val="3A460C84"/>
    <w:rsid w:val="3A7B4A28"/>
    <w:rsid w:val="3A934C55"/>
    <w:rsid w:val="3A9F4707"/>
    <w:rsid w:val="3B043B70"/>
    <w:rsid w:val="3C0C5DCE"/>
    <w:rsid w:val="3C1F5285"/>
    <w:rsid w:val="3C945490"/>
    <w:rsid w:val="3CBB79CB"/>
    <w:rsid w:val="3D167E23"/>
    <w:rsid w:val="3E3D4345"/>
    <w:rsid w:val="3E6B05F4"/>
    <w:rsid w:val="3F195861"/>
    <w:rsid w:val="3F586081"/>
    <w:rsid w:val="3F61166F"/>
    <w:rsid w:val="41486733"/>
    <w:rsid w:val="41792F90"/>
    <w:rsid w:val="427E60E8"/>
    <w:rsid w:val="42961331"/>
    <w:rsid w:val="42CB04D6"/>
    <w:rsid w:val="42D028BF"/>
    <w:rsid w:val="43192362"/>
    <w:rsid w:val="43421087"/>
    <w:rsid w:val="4413383F"/>
    <w:rsid w:val="443A0736"/>
    <w:rsid w:val="445A604F"/>
    <w:rsid w:val="446B5FEC"/>
    <w:rsid w:val="447A35CE"/>
    <w:rsid w:val="44A745C7"/>
    <w:rsid w:val="44AA2374"/>
    <w:rsid w:val="457A2F29"/>
    <w:rsid w:val="46152211"/>
    <w:rsid w:val="462A7954"/>
    <w:rsid w:val="466173B0"/>
    <w:rsid w:val="46624D38"/>
    <w:rsid w:val="46721E38"/>
    <w:rsid w:val="46EE4B79"/>
    <w:rsid w:val="470E4C59"/>
    <w:rsid w:val="477A55E5"/>
    <w:rsid w:val="47ED337C"/>
    <w:rsid w:val="48076A96"/>
    <w:rsid w:val="488F2765"/>
    <w:rsid w:val="48F070DD"/>
    <w:rsid w:val="491C64D2"/>
    <w:rsid w:val="4923332F"/>
    <w:rsid w:val="494A0096"/>
    <w:rsid w:val="49591570"/>
    <w:rsid w:val="49B1181A"/>
    <w:rsid w:val="49DA1A0A"/>
    <w:rsid w:val="4AC313DF"/>
    <w:rsid w:val="4AEB32CA"/>
    <w:rsid w:val="4B805EB3"/>
    <w:rsid w:val="4B886692"/>
    <w:rsid w:val="4C651075"/>
    <w:rsid w:val="4C9B4F9A"/>
    <w:rsid w:val="4CA55F7D"/>
    <w:rsid w:val="4EE31C09"/>
    <w:rsid w:val="4F4B3D85"/>
    <w:rsid w:val="500071E6"/>
    <w:rsid w:val="50086D20"/>
    <w:rsid w:val="503C2B0D"/>
    <w:rsid w:val="521F14E7"/>
    <w:rsid w:val="523A3FF2"/>
    <w:rsid w:val="538032B8"/>
    <w:rsid w:val="540E691C"/>
    <w:rsid w:val="545D2521"/>
    <w:rsid w:val="551D7105"/>
    <w:rsid w:val="551E0A82"/>
    <w:rsid w:val="552C7E16"/>
    <w:rsid w:val="55861908"/>
    <w:rsid w:val="56C002C2"/>
    <w:rsid w:val="56E34F3D"/>
    <w:rsid w:val="575869E0"/>
    <w:rsid w:val="59CE6881"/>
    <w:rsid w:val="5A863E45"/>
    <w:rsid w:val="5AEF594E"/>
    <w:rsid w:val="5B1B1D3C"/>
    <w:rsid w:val="5BC949EC"/>
    <w:rsid w:val="5BE5628D"/>
    <w:rsid w:val="5BF879AF"/>
    <w:rsid w:val="5C0C1797"/>
    <w:rsid w:val="5C557D8C"/>
    <w:rsid w:val="5C574FFB"/>
    <w:rsid w:val="5C75455C"/>
    <w:rsid w:val="5C8344A1"/>
    <w:rsid w:val="5CC30518"/>
    <w:rsid w:val="5CCC7A2A"/>
    <w:rsid w:val="5D7768A3"/>
    <w:rsid w:val="5D807BD2"/>
    <w:rsid w:val="5DE01F09"/>
    <w:rsid w:val="5DEF31C2"/>
    <w:rsid w:val="5E7C2B9F"/>
    <w:rsid w:val="5EB97A2D"/>
    <w:rsid w:val="5EEC0DA0"/>
    <w:rsid w:val="5F0B492C"/>
    <w:rsid w:val="5F561B6F"/>
    <w:rsid w:val="5F57E5CA"/>
    <w:rsid w:val="5F91484C"/>
    <w:rsid w:val="5FC0441D"/>
    <w:rsid w:val="5FE42CD6"/>
    <w:rsid w:val="6008080B"/>
    <w:rsid w:val="603E226F"/>
    <w:rsid w:val="60722A9E"/>
    <w:rsid w:val="609064BC"/>
    <w:rsid w:val="60B844EB"/>
    <w:rsid w:val="611A7F96"/>
    <w:rsid w:val="62377DE6"/>
    <w:rsid w:val="62383EC8"/>
    <w:rsid w:val="62417B60"/>
    <w:rsid w:val="62602F72"/>
    <w:rsid w:val="629B2349"/>
    <w:rsid w:val="63436EDD"/>
    <w:rsid w:val="63DC37B9"/>
    <w:rsid w:val="64304B27"/>
    <w:rsid w:val="64533B69"/>
    <w:rsid w:val="66444937"/>
    <w:rsid w:val="669C35D3"/>
    <w:rsid w:val="669F1055"/>
    <w:rsid w:val="66BD33A8"/>
    <w:rsid w:val="66C77DE7"/>
    <w:rsid w:val="67810865"/>
    <w:rsid w:val="67B56ABF"/>
    <w:rsid w:val="68CE279E"/>
    <w:rsid w:val="690023C7"/>
    <w:rsid w:val="69457DCF"/>
    <w:rsid w:val="694823E4"/>
    <w:rsid w:val="6A141054"/>
    <w:rsid w:val="6B4A74D8"/>
    <w:rsid w:val="6B7A24F8"/>
    <w:rsid w:val="6BA01E5C"/>
    <w:rsid w:val="6BE01C30"/>
    <w:rsid w:val="6CC7793D"/>
    <w:rsid w:val="6D621025"/>
    <w:rsid w:val="6D88253E"/>
    <w:rsid w:val="6DA2466F"/>
    <w:rsid w:val="6DE7377E"/>
    <w:rsid w:val="6DFD77D1"/>
    <w:rsid w:val="6E467653"/>
    <w:rsid w:val="6EC61B4C"/>
    <w:rsid w:val="6F4F1BE4"/>
    <w:rsid w:val="6FB06F42"/>
    <w:rsid w:val="6FC37AD4"/>
    <w:rsid w:val="6FE87B6F"/>
    <w:rsid w:val="714777FF"/>
    <w:rsid w:val="720A5D89"/>
    <w:rsid w:val="73363048"/>
    <w:rsid w:val="73634787"/>
    <w:rsid w:val="738607CE"/>
    <w:rsid w:val="73DA0D89"/>
    <w:rsid w:val="73FF5DD0"/>
    <w:rsid w:val="746740C1"/>
    <w:rsid w:val="7475725D"/>
    <w:rsid w:val="74943B51"/>
    <w:rsid w:val="759B4875"/>
    <w:rsid w:val="75AD7471"/>
    <w:rsid w:val="770B31ED"/>
    <w:rsid w:val="78823FC3"/>
    <w:rsid w:val="78AD1F79"/>
    <w:rsid w:val="78B50653"/>
    <w:rsid w:val="79325856"/>
    <w:rsid w:val="79607F20"/>
    <w:rsid w:val="79D57C9C"/>
    <w:rsid w:val="7A1B65C4"/>
    <w:rsid w:val="7AB227BF"/>
    <w:rsid w:val="7B025FF0"/>
    <w:rsid w:val="7B4753B2"/>
    <w:rsid w:val="7C2C0D2B"/>
    <w:rsid w:val="7C58771B"/>
    <w:rsid w:val="7C691E77"/>
    <w:rsid w:val="7D026197"/>
    <w:rsid w:val="7D9E5899"/>
    <w:rsid w:val="7DE2525B"/>
    <w:rsid w:val="7DFF3A1B"/>
    <w:rsid w:val="7E8941D0"/>
    <w:rsid w:val="7EAA08AA"/>
    <w:rsid w:val="7EAA31DA"/>
    <w:rsid w:val="7EED58E3"/>
    <w:rsid w:val="7F0D32F4"/>
    <w:rsid w:val="7F6969A4"/>
    <w:rsid w:val="7FCE9F2A"/>
    <w:rsid w:val="7FED736C"/>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1</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2024-06-04T01:33:49Z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