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adjustRightInd/>
        <w:spacing w:line="360" w:lineRule="auto"/>
        <w:jc w:val="center"/>
        <w:rPr>
          <w:rFonts w:hint="eastAsia" w:ascii="仿宋" w:hAnsi="仿宋" w:eastAsia="仿宋" w:cs="仿宋"/>
          <w:b/>
          <w:bCs/>
          <w:color w:val="auto"/>
          <w:sz w:val="54"/>
          <w:szCs w:val="54"/>
          <w:lang w:eastAsia="zh-CN"/>
        </w:rPr>
      </w:pPr>
      <w:r>
        <w:rPr>
          <w:rFonts w:hint="eastAsia" w:ascii="仿宋" w:hAnsi="仿宋" w:eastAsia="仿宋" w:cs="仿宋"/>
          <w:b/>
          <w:bCs/>
          <w:color w:val="auto"/>
          <w:sz w:val="54"/>
          <w:szCs w:val="54"/>
          <w:lang w:eastAsia="zh-CN"/>
        </w:rPr>
        <w:t>《树兰文丛》第五辑出版项目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spacing w:line="360" w:lineRule="auto"/>
        <w:jc w:val="both"/>
        <w:rPr>
          <w:rFonts w:hint="eastAsia"/>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rPr>
      </w:pPr>
    </w:p>
    <w:p>
      <w:pPr>
        <w:jc w:val="center"/>
        <w:rPr>
          <w:rFonts w:hint="eastAsia" w:ascii="仿宋" w:hAnsi="仿宋" w:eastAsia="仿宋" w:cs="仿宋"/>
          <w:b/>
          <w:sz w:val="28"/>
          <w:szCs w:val="28"/>
        </w:rPr>
      </w:pPr>
    </w:p>
    <w:p>
      <w:pPr>
        <w:jc w:val="center"/>
        <w:rPr>
          <w:rFonts w:hint="default" w:ascii="宋体" w:hAnsi="宋体" w:cs="Times New Roman"/>
          <w:b/>
          <w:color w:val="000000"/>
          <w:sz w:val="32"/>
          <w:szCs w:val="32"/>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w:t>
      </w:r>
      <w:r>
        <w:rPr>
          <w:rFonts w:hint="eastAsia" w:ascii="宋体" w:hAnsi="宋体" w:eastAsia="宋体" w:cs="Times New Roman"/>
          <w:b/>
          <w:color w:val="000000"/>
          <w:sz w:val="32"/>
          <w:szCs w:val="32"/>
        </w:rPr>
        <w:t>S</w:t>
      </w:r>
      <w:r>
        <w:rPr>
          <w:rFonts w:ascii="宋体" w:hAnsi="宋体" w:eastAsia="宋体" w:cs="Times New Roman"/>
          <w:b/>
          <w:color w:val="000000"/>
          <w:sz w:val="32"/>
          <w:szCs w:val="32"/>
        </w:rPr>
        <w:t>XTSG-ZB-202</w:t>
      </w:r>
      <w:r>
        <w:rPr>
          <w:rFonts w:hint="eastAsia" w:ascii="宋体" w:hAnsi="宋体" w:cs="Times New Roman"/>
          <w:b/>
          <w:color w:val="000000"/>
          <w:sz w:val="32"/>
          <w:szCs w:val="32"/>
          <w:lang w:val="en-US" w:eastAsia="zh-CN"/>
        </w:rPr>
        <w:t>5</w:t>
      </w:r>
      <w:r>
        <w:rPr>
          <w:rFonts w:ascii="宋体" w:hAnsi="宋体" w:eastAsia="宋体" w:cs="Times New Roman"/>
          <w:b/>
          <w:color w:val="000000"/>
          <w:sz w:val="32"/>
          <w:szCs w:val="32"/>
        </w:rPr>
        <w:t>-</w:t>
      </w:r>
      <w:r>
        <w:rPr>
          <w:rFonts w:hint="eastAsia" w:ascii="宋体" w:hAnsi="宋体" w:eastAsia="宋体" w:cs="Times New Roman"/>
          <w:b/>
          <w:color w:val="000000"/>
          <w:sz w:val="32"/>
          <w:szCs w:val="32"/>
          <w:lang w:val="en-US" w:eastAsia="zh-CN"/>
        </w:rPr>
        <w:t>0</w:t>
      </w:r>
      <w:r>
        <w:rPr>
          <w:rFonts w:hint="eastAsia" w:ascii="宋体" w:hAnsi="宋体" w:cs="Times New Roman"/>
          <w:b/>
          <w:color w:val="000000"/>
          <w:sz w:val="32"/>
          <w:szCs w:val="32"/>
          <w:lang w:val="en-US" w:eastAsia="zh-CN"/>
        </w:rPr>
        <w:t>1</w:t>
      </w:r>
    </w:p>
    <w:p>
      <w:pPr>
        <w:pStyle w:val="2"/>
        <w:rPr>
          <w:rFonts w:hint="eastAsia" w:ascii="宋体" w:hAnsi="宋体" w:cs="Times New Roman"/>
          <w:b/>
          <w:color w:val="000000"/>
          <w:sz w:val="32"/>
          <w:szCs w:val="32"/>
          <w:lang w:val="en-US" w:eastAsia="zh-CN"/>
        </w:rPr>
      </w:pPr>
    </w:p>
    <w:p>
      <w:pPr>
        <w:pStyle w:val="2"/>
        <w:rPr>
          <w:rFonts w:hint="eastAsia" w:ascii="宋体" w:hAnsi="宋体" w:cs="Times New Roman"/>
          <w:b/>
          <w:color w:val="000000"/>
          <w:sz w:val="32"/>
          <w:szCs w:val="32"/>
          <w:lang w:val="en-US" w:eastAsia="zh-CN"/>
        </w:rPr>
      </w:pPr>
    </w:p>
    <w:p>
      <w:pPr>
        <w:pStyle w:val="3"/>
        <w:rPr>
          <w:rFonts w:hint="eastAsia" w:ascii="宋体" w:hAnsi="宋体" w:cs="Times New Roman"/>
          <w:b/>
          <w:color w:val="000000"/>
          <w:sz w:val="32"/>
          <w:szCs w:val="32"/>
          <w:lang w:val="en-US" w:eastAsia="zh-CN"/>
        </w:rPr>
      </w:pPr>
    </w:p>
    <w:p>
      <w:pPr>
        <w:rPr>
          <w:rFonts w:hint="eastAsia" w:ascii="宋体" w:hAnsi="宋体" w:cs="Times New Roman"/>
          <w:b/>
          <w:color w:val="000000"/>
          <w:sz w:val="32"/>
          <w:szCs w:val="32"/>
          <w:lang w:val="en-US" w:eastAsia="zh-CN"/>
        </w:rPr>
      </w:pPr>
    </w:p>
    <w:p>
      <w:pPr>
        <w:pStyle w:val="2"/>
        <w:rPr>
          <w:rFonts w:hint="eastAsia"/>
          <w:lang w:eastAsia="zh-CN"/>
        </w:rPr>
      </w:pPr>
    </w:p>
    <w:p>
      <w:pPr>
        <w:pStyle w:val="2"/>
        <w:rPr>
          <w:rFonts w:hint="eastAsia"/>
        </w:rPr>
      </w:pPr>
    </w:p>
    <w:tbl>
      <w:tblPr>
        <w:tblStyle w:val="64"/>
        <w:tblW w:w="7801" w:type="dxa"/>
        <w:jc w:val="center"/>
        <w:tblLayout w:type="fixed"/>
        <w:tblCellMar>
          <w:top w:w="0" w:type="dxa"/>
          <w:left w:w="108" w:type="dxa"/>
          <w:bottom w:w="0" w:type="dxa"/>
          <w:right w:w="108" w:type="dxa"/>
        </w:tblCellMar>
      </w:tblPr>
      <w:tblGrid>
        <w:gridCol w:w="2114"/>
        <w:gridCol w:w="5687"/>
      </w:tblGrid>
      <w:tr>
        <w:tblPrEx>
          <w:tblCellMar>
            <w:top w:w="0" w:type="dxa"/>
            <w:left w:w="108" w:type="dxa"/>
            <w:bottom w:w="0" w:type="dxa"/>
            <w:right w:w="108" w:type="dxa"/>
          </w:tblCellMar>
        </w:tblPrEx>
        <w:trPr>
          <w:trHeight w:val="443" w:hRule="atLeast"/>
          <w:jc w:val="center"/>
        </w:trPr>
        <w:tc>
          <w:tcPr>
            <w:tcW w:w="2114"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687" w:type="dxa"/>
            <w:vAlign w:val="center"/>
          </w:tcPr>
          <w:p>
            <w:pPr>
              <w:spacing w:line="320" w:lineRule="exact"/>
              <w:ind w:firstLine="1120" w:firstLineChars="400"/>
              <w:jc w:val="lef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绍兴图书馆</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三 </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fmt="decimal"/>
          <w:cols w:space="720" w:num="1"/>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sz w:val="24"/>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w:t>
      </w:r>
      <w:r>
        <w:rPr>
          <w:rFonts w:hint="eastAsia" w:ascii="仿宋" w:hAnsi="仿宋" w:eastAsia="仿宋" w:cs="仿宋"/>
          <w:b/>
          <w:bCs/>
          <w:color w:val="auto"/>
          <w:sz w:val="24"/>
          <w:u w:val="single"/>
          <w:lang w:val="en-US" w:eastAsia="zh-CN"/>
        </w:rPr>
        <w:t>《树兰文丛》第五辑出版项目</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招标项目的潜在投标人</w:t>
      </w:r>
      <w:r>
        <w:rPr>
          <w:rFonts w:hint="eastAsia" w:ascii="仿宋" w:hAnsi="仿宋" w:eastAsia="仿宋" w:cs="仿宋"/>
          <w:color w:val="auto"/>
          <w:sz w:val="24"/>
          <w:lang w:eastAsia="zh-CN"/>
        </w:rPr>
        <w:t>可</w:t>
      </w:r>
      <w:r>
        <w:rPr>
          <w:rFonts w:hint="eastAsia" w:ascii="仿宋" w:hAnsi="仿宋" w:eastAsia="仿宋" w:cs="仿宋"/>
          <w:color w:val="auto"/>
          <w:sz w:val="24"/>
        </w:rPr>
        <w:t>在</w:t>
      </w:r>
      <w:r>
        <w:rPr>
          <w:rFonts w:hint="eastAsia" w:ascii="仿宋" w:hAnsi="仿宋" w:eastAsia="仿宋" w:cs="仿宋"/>
          <w:i w:val="0"/>
          <w:iCs w:val="0"/>
          <w:color w:val="auto"/>
          <w:sz w:val="24"/>
          <w:lang w:eastAsia="zh-CN"/>
        </w:rPr>
        <w:t>绍兴图书馆网站</w:t>
      </w:r>
      <w:r>
        <w:rPr>
          <w:rFonts w:hint="eastAsia" w:ascii="仿宋" w:hAnsi="仿宋" w:eastAsia="仿宋" w:cs="仿宋"/>
          <w:i w:val="0"/>
          <w:iCs w:val="0"/>
          <w:color w:val="auto"/>
          <w:sz w:val="24"/>
        </w:rPr>
        <w:t>（</w:t>
      </w:r>
      <w:r>
        <w:rPr>
          <w:rFonts w:hint="eastAsia" w:ascii="仿宋" w:hAnsi="仿宋" w:eastAsia="仿宋" w:cs="仿宋"/>
          <w:i w:val="0"/>
          <w:iCs w:val="0"/>
          <w:snapToGrid/>
          <w:color w:val="auto"/>
          <w:kern w:val="2"/>
          <w:sz w:val="24"/>
          <w:szCs w:val="24"/>
          <w:u w:val="none"/>
        </w:rPr>
        <w:t>www.</w:t>
      </w:r>
      <w:r>
        <w:rPr>
          <w:rFonts w:hint="eastAsia" w:ascii="仿宋" w:hAnsi="仿宋" w:eastAsia="仿宋" w:cs="仿宋"/>
          <w:i w:val="0"/>
          <w:iCs w:val="0"/>
          <w:snapToGrid/>
          <w:color w:val="auto"/>
          <w:kern w:val="2"/>
          <w:sz w:val="24"/>
          <w:szCs w:val="24"/>
          <w:u w:val="none"/>
          <w:lang w:val="en-US" w:eastAsia="zh-CN"/>
        </w:rPr>
        <w:t>sxlib.com</w:t>
      </w:r>
      <w:r>
        <w:rPr>
          <w:rFonts w:hint="eastAsia" w:ascii="仿宋" w:hAnsi="仿宋" w:eastAsia="仿宋" w:cs="仿宋"/>
          <w:i w:val="0"/>
          <w:iCs w:val="0"/>
          <w:snapToGrid/>
          <w:color w:val="auto"/>
          <w:kern w:val="2"/>
          <w:sz w:val="24"/>
          <w:szCs w:val="24"/>
          <w:u w:val="none"/>
        </w:rPr>
        <w:t>）获取（下载）招标文件</w:t>
      </w:r>
      <w:r>
        <w:rPr>
          <w:rFonts w:hint="eastAsia" w:ascii="仿宋" w:hAnsi="仿宋" w:eastAsia="仿宋" w:cs="仿宋"/>
          <w:i w:val="0"/>
          <w:iCs w:val="0"/>
          <w:snapToGrid/>
          <w:color w:val="auto"/>
          <w:kern w:val="2"/>
          <w:sz w:val="24"/>
          <w:szCs w:val="24"/>
          <w:u w:val="none"/>
          <w:lang w:eastAsia="zh-CN"/>
        </w:rPr>
        <w:t>。将</w:t>
      </w:r>
      <w:r>
        <w:rPr>
          <w:rFonts w:hint="eastAsia" w:ascii="仿宋" w:hAnsi="仿宋" w:eastAsia="仿宋" w:cs="仿宋"/>
          <w:color w:val="auto"/>
          <w:sz w:val="24"/>
        </w:rPr>
        <w:t>报名资料</w:t>
      </w:r>
      <w:r>
        <w:rPr>
          <w:rFonts w:hint="eastAsia" w:ascii="仿宋" w:hAnsi="仿宋" w:eastAsia="仿宋" w:cs="仿宋"/>
          <w:color w:val="auto"/>
          <w:sz w:val="24"/>
          <w:lang w:eastAsia="zh-CN"/>
        </w:rPr>
        <w:t>“</w:t>
      </w:r>
      <w:r>
        <w:rPr>
          <w:rFonts w:hint="eastAsia" w:ascii="仿宋" w:hAnsi="仿宋" w:eastAsia="仿宋" w:cs="仿宋"/>
          <w:color w:val="auto"/>
          <w:sz w:val="24"/>
        </w:rPr>
        <w:t>（1）授权委托书（2）企业营业执照（3）报名者身份证及联系电话</w:t>
      </w:r>
      <w:r>
        <w:rPr>
          <w:rFonts w:hint="eastAsia" w:ascii="仿宋" w:hAnsi="仿宋" w:eastAsia="仿宋" w:cs="仿宋"/>
          <w:color w:val="auto"/>
          <w:sz w:val="24"/>
          <w:lang w:eastAsia="zh-CN"/>
        </w:rPr>
        <w:t>”</w:t>
      </w:r>
      <w:r>
        <w:rPr>
          <w:rFonts w:hint="eastAsia" w:ascii="仿宋" w:hAnsi="仿宋" w:eastAsia="仿宋" w:cs="仿宋"/>
          <w:color w:val="auto"/>
          <w:sz w:val="24"/>
        </w:rPr>
        <w:t>加盖公章后扫描件发送至邮箱：</w:t>
      </w:r>
      <w:r>
        <w:rPr>
          <w:rFonts w:hint="eastAsia" w:ascii="仿宋" w:hAnsi="仿宋" w:eastAsia="仿宋" w:cs="仿宋"/>
          <w:color w:val="auto"/>
          <w:sz w:val="24"/>
          <w:lang w:val="en-US" w:eastAsia="zh-CN"/>
        </w:rPr>
        <w:fldChar w:fldCharType="begin"/>
      </w:r>
      <w:r>
        <w:rPr>
          <w:rFonts w:hint="eastAsia" w:ascii="仿宋" w:hAnsi="仿宋" w:eastAsia="仿宋" w:cs="仿宋"/>
          <w:color w:val="auto"/>
          <w:sz w:val="24"/>
          <w:lang w:val="en-US" w:eastAsia="zh-CN"/>
        </w:rPr>
        <w:instrText xml:space="preserve"> HYPERLINK "mailto:10517691@qq.com进行报名。并于2025年" </w:instrText>
      </w:r>
      <w:r>
        <w:rPr>
          <w:rFonts w:hint="eastAsia" w:ascii="仿宋" w:hAnsi="仿宋" w:eastAsia="仿宋" w:cs="仿宋"/>
          <w:color w:val="auto"/>
          <w:sz w:val="24"/>
          <w:lang w:val="en-US" w:eastAsia="zh-CN"/>
        </w:rPr>
        <w:fldChar w:fldCharType="separate"/>
      </w:r>
      <w:r>
        <w:rPr>
          <w:rStyle w:val="78"/>
          <w:rFonts w:hint="eastAsia" w:ascii="仿宋" w:hAnsi="仿宋" w:eastAsia="仿宋" w:cs="仿宋"/>
          <w:sz w:val="24"/>
          <w:lang w:val="en-US" w:eastAsia="zh-CN"/>
        </w:rPr>
        <w:t>10517691</w:t>
      </w:r>
      <w:r>
        <w:rPr>
          <w:rStyle w:val="78"/>
          <w:rFonts w:hint="eastAsia" w:ascii="仿宋" w:hAnsi="仿宋" w:eastAsia="仿宋" w:cs="仿宋"/>
          <w:sz w:val="24"/>
        </w:rPr>
        <w:t>@qq.com</w:t>
      </w:r>
      <w:r>
        <w:rPr>
          <w:rStyle w:val="78"/>
          <w:rFonts w:hint="eastAsia" w:ascii="仿宋" w:hAnsi="仿宋" w:eastAsia="仿宋" w:cs="仿宋"/>
          <w:sz w:val="24"/>
          <w:lang w:eastAsia="zh-CN"/>
        </w:rPr>
        <w:t>进行报名。并</w:t>
      </w:r>
      <w:r>
        <w:rPr>
          <w:rStyle w:val="78"/>
          <w:rFonts w:hint="eastAsia" w:ascii="仿宋" w:hAnsi="仿宋" w:eastAsia="仿宋" w:cs="仿宋"/>
          <w:i w:val="0"/>
          <w:iCs w:val="0"/>
          <w:snapToGrid/>
          <w:kern w:val="2"/>
          <w:sz w:val="24"/>
          <w:szCs w:val="24"/>
        </w:rPr>
        <w:t>于202</w:t>
      </w:r>
      <w:r>
        <w:rPr>
          <w:rStyle w:val="78"/>
          <w:rFonts w:hint="eastAsia" w:ascii="仿宋" w:hAnsi="仿宋" w:eastAsia="仿宋" w:cs="仿宋"/>
          <w:i w:val="0"/>
          <w:iCs w:val="0"/>
          <w:snapToGrid/>
          <w:kern w:val="2"/>
          <w:sz w:val="24"/>
          <w:szCs w:val="24"/>
          <w:lang w:val="en-US" w:eastAsia="zh-CN"/>
        </w:rPr>
        <w:t>5</w:t>
      </w:r>
      <w:r>
        <w:rPr>
          <w:rStyle w:val="78"/>
          <w:rFonts w:hint="eastAsia" w:ascii="仿宋" w:hAnsi="仿宋" w:eastAsia="仿宋" w:cs="仿宋"/>
          <w:i w:val="0"/>
          <w:iCs w:val="0"/>
          <w:snapToGrid/>
          <w:kern w:val="2"/>
          <w:sz w:val="24"/>
          <w:szCs w:val="24"/>
        </w:rPr>
        <w:t>年</w:t>
      </w:r>
      <w:r>
        <w:rPr>
          <w:rFonts w:hint="eastAsia" w:ascii="仿宋" w:hAnsi="仿宋" w:eastAsia="仿宋" w:cs="仿宋"/>
          <w:color w:val="auto"/>
          <w:sz w:val="24"/>
          <w:lang w:val="en-US" w:eastAsia="zh-CN"/>
        </w:rPr>
        <w:fldChar w:fldCharType="end"/>
      </w:r>
      <w:r>
        <w:rPr>
          <w:rFonts w:hint="eastAsia" w:ascii="仿宋" w:hAnsi="仿宋" w:eastAsia="仿宋" w:cs="仿宋"/>
          <w:color w:val="auto"/>
          <w:sz w:val="24"/>
          <w:lang w:val="en-US" w:eastAsia="zh-CN"/>
        </w:rPr>
        <w:t xml:space="preserve"> </w:t>
      </w:r>
      <w:r>
        <w:rPr>
          <w:rFonts w:hint="eastAsia" w:ascii="仿宋" w:hAnsi="仿宋" w:eastAsia="仿宋" w:cs="仿宋"/>
          <w:i w:val="0"/>
          <w:iCs w:val="0"/>
          <w:snapToGrid/>
          <w:color w:val="auto"/>
          <w:kern w:val="2"/>
          <w:sz w:val="24"/>
          <w:szCs w:val="24"/>
          <w:u w:val="none"/>
          <w:lang w:val="en-US" w:eastAsia="zh-CN"/>
        </w:rPr>
        <w:t>3</w:t>
      </w:r>
      <w:r>
        <w:rPr>
          <w:rFonts w:hint="eastAsia" w:ascii="仿宋" w:hAnsi="仿宋" w:eastAsia="仿宋" w:cs="仿宋"/>
          <w:i w:val="0"/>
          <w:iCs w:val="0"/>
          <w:snapToGrid/>
          <w:color w:val="auto"/>
          <w:kern w:val="2"/>
          <w:sz w:val="24"/>
          <w:szCs w:val="24"/>
          <w:u w:val="none"/>
        </w:rPr>
        <w:t>月</w:t>
      </w:r>
      <w:r>
        <w:rPr>
          <w:rFonts w:hint="eastAsia" w:ascii="仿宋" w:hAnsi="仿宋" w:eastAsia="仿宋" w:cs="仿宋"/>
          <w:i w:val="0"/>
          <w:iCs w:val="0"/>
          <w:snapToGrid/>
          <w:color w:val="auto"/>
          <w:kern w:val="2"/>
          <w:sz w:val="24"/>
          <w:szCs w:val="24"/>
          <w:u w:val="none"/>
          <w:lang w:val="en-US" w:eastAsia="zh-CN"/>
        </w:rPr>
        <w:t>26</w:t>
      </w:r>
      <w:r>
        <w:rPr>
          <w:rFonts w:hint="eastAsia" w:ascii="仿宋" w:hAnsi="仿宋" w:eastAsia="仿宋" w:cs="仿宋"/>
          <w:i w:val="0"/>
          <w:iCs w:val="0"/>
          <w:snapToGrid/>
          <w:color w:val="auto"/>
          <w:kern w:val="2"/>
          <w:sz w:val="24"/>
          <w:szCs w:val="24"/>
          <w:u w:val="none"/>
        </w:rPr>
        <w:t>日</w:t>
      </w:r>
      <w:r>
        <w:rPr>
          <w:rFonts w:hint="eastAsia" w:ascii="仿宋" w:hAnsi="仿宋" w:eastAsia="仿宋" w:cs="仿宋"/>
          <w:i w:val="0"/>
          <w:iCs w:val="0"/>
          <w:snapToGrid/>
          <w:color w:val="auto"/>
          <w:kern w:val="2"/>
          <w:sz w:val="24"/>
          <w:szCs w:val="24"/>
          <w:u w:val="none"/>
          <w:lang w:val="en-US" w:eastAsia="zh-CN"/>
        </w:rPr>
        <w:t>14</w:t>
      </w:r>
      <w:r>
        <w:rPr>
          <w:rFonts w:hint="eastAsia" w:ascii="仿宋" w:hAnsi="仿宋" w:eastAsia="仿宋" w:cs="仿宋"/>
          <w:i w:val="0"/>
          <w:iCs w:val="0"/>
          <w:snapToGrid/>
          <w:color w:val="auto"/>
          <w:kern w:val="2"/>
          <w:sz w:val="24"/>
          <w:szCs w:val="24"/>
          <w:u w:val="none"/>
        </w:rPr>
        <w:t>点</w:t>
      </w:r>
      <w:r>
        <w:rPr>
          <w:rFonts w:hint="eastAsia" w:ascii="仿宋" w:hAnsi="仿宋" w:eastAsia="仿宋" w:cs="仿宋"/>
          <w:i w:val="0"/>
          <w:iCs w:val="0"/>
          <w:snapToGrid/>
          <w:color w:val="auto"/>
          <w:kern w:val="2"/>
          <w:sz w:val="24"/>
          <w:szCs w:val="24"/>
          <w:u w:val="none"/>
          <w:lang w:val="en-US" w:eastAsia="zh-CN"/>
        </w:rPr>
        <w:t>00</w:t>
      </w:r>
      <w:r>
        <w:rPr>
          <w:rFonts w:hint="eastAsia" w:ascii="仿宋" w:hAnsi="仿宋" w:eastAsia="仿宋" w:cs="仿宋"/>
          <w:i w:val="0"/>
          <w:iCs w:val="0"/>
          <w:snapToGrid/>
          <w:color w:val="auto"/>
          <w:kern w:val="2"/>
          <w:sz w:val="24"/>
          <w:szCs w:val="24"/>
          <w:u w:val="none"/>
        </w:rPr>
        <w:t>分</w:t>
      </w:r>
      <w:r>
        <w:rPr>
          <w:rFonts w:hint="eastAsia" w:ascii="仿宋" w:hAnsi="仿宋" w:eastAsia="仿宋" w:cs="仿宋"/>
          <w:bCs/>
          <w:i w:val="0"/>
          <w:iCs w:val="0"/>
          <w:snapToGrid/>
          <w:color w:val="auto"/>
          <w:kern w:val="2"/>
          <w:sz w:val="24"/>
          <w:szCs w:val="24"/>
          <w:u w:val="none"/>
        </w:rPr>
        <w:t>00秒</w:t>
      </w:r>
      <w:r>
        <w:rPr>
          <w:rFonts w:hint="eastAsia" w:ascii="仿宋" w:hAnsi="仿宋" w:eastAsia="仿宋" w:cs="仿宋"/>
          <w:bCs/>
          <w:color w:val="auto"/>
          <w:sz w:val="24"/>
        </w:rPr>
        <w:t>（北京时间）前</w:t>
      </w:r>
      <w:r>
        <w:rPr>
          <w:rFonts w:hint="eastAsia" w:ascii="仿宋" w:hAnsi="仿宋" w:eastAsia="仿宋" w:cs="仿宋"/>
          <w:color w:val="auto"/>
          <w:sz w:val="24"/>
        </w:rPr>
        <w:t>递交投标文件。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bCs/>
          <w:color w:val="auto"/>
          <w:sz w:val="24"/>
        </w:rPr>
        <w:t>SXTSG-ZB-202</w:t>
      </w:r>
      <w:r>
        <w:rPr>
          <w:rFonts w:hint="eastAsia" w:ascii="仿宋" w:hAnsi="仿宋" w:eastAsia="仿宋" w:cs="仿宋"/>
          <w:b/>
          <w:bCs/>
          <w:color w:val="auto"/>
          <w:sz w:val="24"/>
          <w:lang w:val="en-US" w:eastAsia="zh-CN"/>
        </w:rPr>
        <w:t>5</w:t>
      </w:r>
      <w:r>
        <w:rPr>
          <w:rFonts w:hint="eastAsia" w:ascii="仿宋" w:hAnsi="仿宋" w:eastAsia="仿宋" w:cs="仿宋"/>
          <w:b/>
          <w:bCs/>
          <w:color w:val="auto"/>
          <w:sz w:val="24"/>
        </w:rPr>
        <w:t>-0</w:t>
      </w:r>
      <w:r>
        <w:rPr>
          <w:rFonts w:hint="eastAsia" w:ascii="仿宋" w:hAnsi="仿宋" w:eastAsia="仿宋" w:cs="仿宋"/>
          <w:b/>
          <w:bCs/>
          <w:color w:val="auto"/>
          <w:sz w:val="24"/>
          <w:lang w:val="en-US" w:eastAsia="zh-CN"/>
        </w:rPr>
        <w:t>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bCs/>
          <w:color w:val="auto"/>
          <w:sz w:val="24"/>
          <w:u w:val="none"/>
          <w:lang w:val="en-US" w:eastAsia="zh-CN"/>
        </w:rPr>
        <w:t>《树兰文丛》第五辑出版项目</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bCs w:val="0"/>
          <w:color w:val="auto"/>
          <w:sz w:val="24"/>
          <w:lang w:val="en-US" w:eastAsia="zh-CN"/>
        </w:rPr>
        <w:t>70000</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70</w:t>
      </w:r>
      <w:r>
        <w:rPr>
          <w:rFonts w:hint="eastAsia" w:ascii="仿宋" w:hAnsi="仿宋" w:eastAsia="仿宋" w:cs="仿宋"/>
          <w:b/>
          <w:bCs w:val="0"/>
          <w:color w:val="auto"/>
          <w:sz w:val="24"/>
          <w:lang w:val="en-US" w:eastAsia="zh-CN"/>
        </w:rPr>
        <w:t>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bCs/>
          <w:color w:val="auto"/>
          <w:sz w:val="24"/>
          <w:u w:val="none"/>
          <w:lang w:val="en-US" w:eastAsia="zh-CN"/>
        </w:rPr>
        <w:t>《树兰文丛》第五辑出版项目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cs="仿宋"/>
          <w:b/>
          <w:bCs w:val="0"/>
          <w:color w:val="auto"/>
          <w:sz w:val="24"/>
          <w:lang w:val="en-US" w:eastAsia="zh-CN"/>
        </w:rPr>
        <w:t>70000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bCs/>
          <w:color w:val="auto"/>
          <w:sz w:val="24"/>
          <w:u w:val="none"/>
          <w:lang w:val="en-US" w:eastAsia="zh-CN"/>
        </w:rPr>
        <w:t>《树兰文丛》第五辑出版项目</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lang w:val="en-US" w:eastAsia="zh-CN"/>
        </w:rPr>
      </w:pPr>
      <w:r>
        <w:rPr>
          <w:rFonts w:hint="eastAsia" w:ascii="仿宋" w:hAnsi="仿宋" w:eastAsia="仿宋" w:cs="仿宋"/>
          <w:b/>
          <w:bCs w:val="0"/>
          <w:color w:val="auto"/>
          <w:sz w:val="24"/>
          <w:lang w:val="en-US" w:eastAsia="zh-CN"/>
        </w:rPr>
        <w:t>合同履行期限：</w:t>
      </w:r>
      <w:r>
        <w:rPr>
          <w:rFonts w:hint="eastAsia" w:ascii="仿宋" w:hAnsi="仿宋" w:eastAsia="仿宋" w:cs="仿宋"/>
          <w:bCs/>
          <w:color w:val="auto"/>
          <w:sz w:val="24"/>
          <w:lang w:val="en-US"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本项目接受联合体投标：☐是，☑否。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bCs/>
          <w:color w:val="auto"/>
          <w:sz w:val="24"/>
        </w:rPr>
        <w:t>4.本项目的特定资格要求：</w:t>
      </w:r>
      <w:r>
        <w:rPr>
          <w:rFonts w:hint="eastAsia" w:ascii="仿宋" w:hAnsi="仿宋" w:eastAsia="仿宋" w:cs="仿宋"/>
          <w:b/>
          <w:bCs/>
          <w:color w:val="auto"/>
          <w:sz w:val="24"/>
          <w:lang w:eastAsia="zh-CN"/>
        </w:rPr>
        <w:t>供应商需</w:t>
      </w:r>
      <w:r>
        <w:rPr>
          <w:rFonts w:hint="eastAsia" w:ascii="仿宋" w:hAnsi="仿宋" w:eastAsia="仿宋" w:cs="仿宋"/>
          <w:b/>
          <w:bCs/>
          <w:color w:val="auto"/>
          <w:sz w:val="24"/>
        </w:rPr>
        <w:t>具有《中华人民共和国图书出版许可证》；</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u w:val="none"/>
          <w:lang w:eastAsia="zh-CN"/>
        </w:rPr>
      </w:pPr>
      <w:r>
        <w:rPr>
          <w:rFonts w:hint="eastAsia" w:ascii="仿宋" w:hAnsi="仿宋" w:eastAsia="仿宋" w:cs="仿宋"/>
          <w:b/>
          <w:color w:val="auto"/>
          <w:sz w:val="24"/>
        </w:rPr>
        <w:t>时间：</w:t>
      </w:r>
      <w:r>
        <w:rPr>
          <w:rFonts w:hint="eastAsia" w:ascii="仿宋" w:hAnsi="仿宋" w:eastAsia="仿宋" w:cs="仿宋"/>
          <w:b w:val="0"/>
          <w:bCs/>
          <w:color w:val="auto"/>
          <w:sz w:val="24"/>
          <w:u w:val="none"/>
          <w:lang w:eastAsia="zh-CN"/>
        </w:rPr>
        <w:t>即日起，</w:t>
      </w:r>
      <w:r>
        <w:rPr>
          <w:rFonts w:hint="eastAsia" w:ascii="仿宋" w:hAnsi="仿宋" w:eastAsia="仿宋" w:cs="仿宋"/>
          <w:b w:val="0"/>
          <w:bCs/>
          <w:color w:val="auto"/>
          <w:sz w:val="24"/>
          <w:u w:val="none"/>
        </w:rPr>
        <w:t>至</w:t>
      </w:r>
      <w:r>
        <w:rPr>
          <w:rFonts w:hint="eastAsia" w:ascii="仿宋" w:hAnsi="仿宋" w:eastAsia="仿宋" w:cs="仿宋"/>
          <w:b w:val="0"/>
          <w:bCs/>
          <w:color w:val="auto"/>
          <w:sz w:val="24"/>
          <w:u w:val="none"/>
          <w:lang w:eastAsia="zh-CN"/>
        </w:rPr>
        <w:t>开标前。</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lang w:eastAsia="zh-CN"/>
        </w:rPr>
        <w:t>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方式：</w:t>
      </w:r>
      <w:r>
        <w:rPr>
          <w:rFonts w:hint="eastAsia" w:ascii="仿宋" w:hAnsi="仿宋" w:eastAsia="仿宋" w:cs="仿宋"/>
          <w:color w:val="auto"/>
          <w:sz w:val="24"/>
        </w:rPr>
        <w:t>供应商</w:t>
      </w:r>
      <w:r>
        <w:rPr>
          <w:rFonts w:hint="eastAsia" w:ascii="仿宋" w:hAnsi="仿宋" w:eastAsia="仿宋" w:cs="仿宋"/>
          <w:color w:val="auto"/>
          <w:sz w:val="24"/>
          <w:lang w:eastAsia="zh-CN"/>
        </w:rPr>
        <w:t>打开绍兴图书馆网站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sxlib.com，在“资讯信息”——&gt;“招标信息”栏目相应的招标公告附件中自行下载。</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lang w:eastAsia="zh-CN"/>
        </w:rPr>
        <w:t>四、报名、</w:t>
      </w:r>
      <w:r>
        <w:rPr>
          <w:rFonts w:hint="eastAsia" w:ascii="仿宋" w:hAnsi="仿宋" w:eastAsia="仿宋" w:cs="仿宋"/>
          <w:b/>
          <w:color w:val="auto"/>
          <w:sz w:val="24"/>
        </w:rPr>
        <w:t>提交投标文件截止时间、开标时间和地点</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　　报名：供应商将报名资料“（1）授权委托书（2）企业营业执照（3）报名者身份证及联系电话”加盖公章后扫描件发送至邮箱：10517691@qq.com进行报名。</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提交投标文件截止时间： 202</w:t>
      </w:r>
      <w:r>
        <w:rPr>
          <w:rFonts w:hint="eastAsia" w:ascii="仿宋" w:hAnsi="仿宋" w:eastAsia="仿宋" w:cs="仿宋"/>
          <w:b/>
          <w:color w:val="auto"/>
          <w:sz w:val="24"/>
          <w:lang w:val="en-US" w:eastAsia="zh-CN"/>
        </w:rPr>
        <w:t>5</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 xml:space="preserve"> 3 </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26</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分00秒 （北京时间）</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xml:space="preserve">　　投标地点：供应商需在开标前，将投标文件送（寄）至绍兴市越城区洋江西路530号绍兴图书馆415室，收件人：项元峰，15257500800。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开标时间：202</w:t>
      </w:r>
      <w:r>
        <w:rPr>
          <w:rFonts w:hint="eastAsia" w:ascii="仿宋" w:hAnsi="仿宋" w:eastAsia="仿宋" w:cs="仿宋"/>
          <w:b/>
          <w:color w:val="auto"/>
          <w:sz w:val="24"/>
          <w:lang w:val="en-US" w:eastAsia="zh-CN"/>
        </w:rPr>
        <w:t>5</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3</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26</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 xml:space="preserve">分00秒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开标地点：绍兴市越城区洋江西路530号绍兴图书馆4楼404会议室</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numPr>
          <w:ilvl w:val="0"/>
          <w:numId w:val="1"/>
        </w:numPr>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其他补充事宜</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1.</w:t>
      </w:r>
      <w:r>
        <w:rPr>
          <w:rFonts w:hint="eastAsia" w:ascii="仿宋" w:hAnsi="仿宋" w:eastAsia="仿宋" w:cs="仿宋"/>
          <w:color w:val="auto"/>
          <w:spacing w:val="8"/>
          <w:kern w:val="0"/>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pacing w:val="8"/>
          <w:kern w:val="0"/>
          <w:sz w:val="24"/>
          <w:lang w:val="en"/>
        </w:rPr>
        <w:t>(</w:t>
      </w:r>
      <w:r>
        <w:rPr>
          <w:rFonts w:hint="eastAsia" w:ascii="仿宋" w:hAnsi="仿宋" w:eastAsia="仿宋" w:cs="仿宋"/>
          <w:color w:val="auto"/>
          <w:spacing w:val="8"/>
          <w:kern w:val="0"/>
          <w:sz w:val="24"/>
          <w:lang w:val="en" w:eastAsia="zh-CN"/>
        </w:rPr>
        <w:t>政策落实根据财政部门要求更新）</w:t>
      </w:r>
      <w:r>
        <w:rPr>
          <w:rFonts w:hint="eastAsia" w:ascii="仿宋" w:hAnsi="仿宋" w:eastAsia="仿宋" w:cs="仿宋"/>
          <w:color w:val="auto"/>
          <w:spacing w:val="8"/>
          <w:kern w:val="0"/>
          <w:sz w:val="24"/>
        </w:rPr>
        <w:t>。</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2.</w:t>
      </w:r>
      <w:r>
        <w:rPr>
          <w:rFonts w:hint="eastAsia" w:ascii="仿宋" w:hAnsi="仿宋" w:eastAsia="仿宋" w:cs="仿宋"/>
          <w:color w:val="auto"/>
          <w:spacing w:val="8"/>
          <w:kern w:val="0"/>
          <w:sz w:val="24"/>
        </w:rPr>
        <w:t>其他事项：（1）需要落实的政府采购政策：包括节约资源、保护环境、支持创新、促进中小企业发展等。详见招标文件的第二部分总则。（2）招标文件公告期限与招标公告的公告期限一致。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绍兴图书馆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绍兴市越城区洋江西路530号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36"/>
          <w:szCs w:val="20"/>
        </w:rPr>
      </w:pPr>
      <w:r>
        <w:rPr>
          <w:rFonts w:hint="eastAsia" w:ascii="仿宋" w:hAnsi="仿宋" w:eastAsia="仿宋" w:cs="仿宋"/>
          <w:color w:val="auto"/>
          <w:sz w:val="24"/>
        </w:rPr>
        <w:t>联系人：</w:t>
      </w:r>
      <w:r>
        <w:rPr>
          <w:rFonts w:hint="eastAsia" w:ascii="仿宋" w:hAnsi="仿宋" w:eastAsia="仿宋" w:cs="仿宋"/>
          <w:color w:val="auto"/>
          <w:sz w:val="24"/>
          <w:lang w:eastAsia="zh-CN"/>
        </w:rPr>
        <w:t>项元峰</w:t>
      </w:r>
      <w:r>
        <w:rPr>
          <w:rFonts w:hint="eastAsia" w:ascii="仿宋" w:hAnsi="仿宋" w:eastAsia="仿宋" w:cs="仿宋"/>
          <w:color w:val="auto"/>
          <w:sz w:val="24"/>
          <w:lang w:val="en-US" w:eastAsia="zh-CN"/>
        </w:rPr>
        <w:t xml:space="preserve">  15257500800、丁瑛 15925863257</w:t>
      </w: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lang w:eastAsia="zh-CN"/>
              </w:rPr>
            </w:pPr>
            <w:r>
              <w:rPr>
                <w:rFonts w:hint="eastAsia" w:ascii="仿宋" w:hAnsi="仿宋" w:eastAsia="仿宋" w:cs="仿宋"/>
                <w:b/>
                <w:sz w:val="24"/>
              </w:rPr>
              <w:t>投标文件份数：</w:t>
            </w:r>
            <w:r>
              <w:rPr>
                <w:rFonts w:hint="eastAsia" w:ascii="仿宋" w:hAnsi="仿宋" w:eastAsia="仿宋" w:cs="仿宋"/>
                <w:sz w:val="24"/>
                <w:lang w:eastAsia="zh-CN"/>
              </w:rPr>
              <w:t>五份（一正四副）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5" w:name="第三部分"/>
      <w:bookmarkStart w:id="6"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 xml:space="preserve"> “监督单位”系指政府采购法定义监督管理部门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 xml:space="preserve"> “公章”系指单位法定名称章。因特殊原因需要使用冠以法定名称的业务专用章的，投标时须提供《业务专用章使用说明函》（附件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lang w:eastAsia="zh-CN"/>
        </w:rPr>
        <w:t>　　</w:t>
      </w: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　　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lang w:eastAsia="zh-CN"/>
        </w:rPr>
        <w:t>　　</w:t>
      </w: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3.4支持科技创新创新发展</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3.5平等对待内外资企业和符合条件的破产重整企业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lang w:eastAsia="zh-CN"/>
        </w:rPr>
        <w:t>　　</w:t>
      </w: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w:t>
      </w:r>
      <w:r>
        <w:rPr>
          <w:rFonts w:hint="eastAsia" w:ascii="仿宋" w:hAnsi="仿宋" w:eastAsia="仿宋" w:cs="仿宋"/>
          <w:sz w:val="24"/>
          <w:lang w:eastAsia="zh-CN"/>
        </w:rPr>
        <w:t>按《</w:t>
      </w:r>
      <w:r>
        <w:rPr>
          <w:rFonts w:hint="eastAsia" w:ascii="仿宋" w:hAnsi="仿宋" w:eastAsia="仿宋" w:cs="仿宋"/>
          <w:sz w:val="24"/>
        </w:rPr>
        <w:fldChar w:fldCharType="begin"/>
      </w:r>
      <w:r>
        <w:rPr>
          <w:rFonts w:hint="eastAsia" w:ascii="仿宋" w:hAnsi="仿宋" w:eastAsia="仿宋" w:cs="仿宋"/>
          <w:sz w:val="24"/>
        </w:rPr>
        <w:instrText xml:space="preserve"> HYPERLINK "https://oa.sxlib.com/general/file_folder/read.php?SORT_ID=2441&amp;FILE_SORT=1&amp;CONTENT_ID=8257&amp;start=0" </w:instrText>
      </w:r>
      <w:r>
        <w:rPr>
          <w:rFonts w:hint="eastAsia" w:ascii="仿宋" w:hAnsi="仿宋" w:eastAsia="仿宋" w:cs="仿宋"/>
          <w:sz w:val="24"/>
        </w:rPr>
        <w:fldChar w:fldCharType="separate"/>
      </w:r>
      <w:r>
        <w:rPr>
          <w:rFonts w:hint="eastAsia" w:ascii="仿宋" w:hAnsi="仿宋" w:eastAsia="仿宋" w:cs="仿宋"/>
          <w:sz w:val="24"/>
        </w:rPr>
        <w:t>绍兴图书馆小型采购项目招投标管理办法</w:t>
      </w:r>
      <w:r>
        <w:rPr>
          <w:rFonts w:hint="eastAsia" w:ascii="仿宋" w:hAnsi="仿宋" w:eastAsia="仿宋" w:cs="仿宋"/>
          <w:sz w:val="24"/>
        </w:rPr>
        <w:fldChar w:fldCharType="end"/>
      </w:r>
      <w:r>
        <w:rPr>
          <w:rFonts w:hint="eastAsia" w:ascii="仿宋" w:hAnsi="仿宋" w:eastAsia="仿宋" w:cs="仿宋"/>
          <w:sz w:val="24"/>
          <w:lang w:eastAsia="zh-CN"/>
        </w:rPr>
        <w:t>》</w:t>
      </w:r>
      <w:r>
        <w:rPr>
          <w:rFonts w:hint="eastAsia" w:ascii="仿宋" w:hAnsi="仿宋" w:eastAsia="仿宋" w:cs="仿宋"/>
          <w:sz w:val="24"/>
        </w:rPr>
        <w:t>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7"/>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 w:hAnsi="仿宋" w:eastAsia="仿宋" w:cs="仿宋"/>
          <w:b w:val="0"/>
          <w:bCs/>
          <w:sz w:val="24"/>
        </w:rPr>
        <w:t>1.5投标文件为</w:t>
      </w:r>
      <w:r>
        <w:rPr>
          <w:rFonts w:hint="eastAsia" w:ascii="仿宋" w:hAnsi="仿宋" w:eastAsia="仿宋" w:cs="仿宋"/>
          <w:b w:val="0"/>
          <w:bCs/>
          <w:sz w:val="24"/>
          <w:lang w:eastAsia="zh-CN"/>
        </w:rPr>
        <w:t>纸质</w:t>
      </w:r>
      <w:r>
        <w:rPr>
          <w:rFonts w:hint="eastAsia" w:ascii="仿宋" w:hAnsi="仿宋" w:eastAsia="仿宋" w:cs="仿宋"/>
          <w:b w:val="0"/>
          <w:bCs/>
          <w:sz w:val="24"/>
        </w:rPr>
        <w:t>投标文件，按本招标文件要求制作。</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w:t>
      </w:r>
      <w:r>
        <w:rPr>
          <w:rFonts w:hint="eastAsia" w:ascii="仿宋" w:hAnsi="仿宋" w:eastAsia="仿宋" w:cs="仿宋"/>
          <w:b w:val="0"/>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.2投标文件按照招标文件第六部分格式要求进行签署、盖章。投标人的投标文件未按照招标文件要求签署、盖章的，其投标无效。</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供应商应当在投标截止时间前完成投标文件的递交，并可以补充、修改或者撤回投标文件。</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.3在原定投标有效期满之前，如果出现特殊情况，采购</w:t>
      </w:r>
      <w:r>
        <w:rPr>
          <w:rFonts w:hint="eastAsia" w:ascii="仿宋" w:hAnsi="仿宋" w:eastAsia="仿宋" w:cs="仿宋"/>
          <w:sz w:val="24"/>
          <w:lang w:val="en-US" w:eastAsia="zh-CN"/>
        </w:rPr>
        <w:t>人</w:t>
      </w:r>
      <w:r>
        <w:rPr>
          <w:rFonts w:hint="default" w:ascii="仿宋" w:hAnsi="仿宋" w:eastAsia="仿宋" w:cs="仿宋"/>
          <w:sz w:val="24"/>
          <w:lang w:val="en-US" w:eastAsia="zh-CN"/>
        </w:rPr>
        <w:t>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rPr>
          <w:rFonts w:hint="eastAsia" w:ascii="仿宋" w:hAnsi="仿宋" w:eastAsia="仿宋" w:cs="仿宋"/>
          <w:b/>
          <w:sz w:val="32"/>
          <w:szCs w:val="32"/>
        </w:rPr>
      </w:pPr>
      <w:bookmarkStart w:id="7" w:name="_Toc91899903"/>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sz w:val="24"/>
          <w:lang w:val="en-US" w:eastAsia="zh-CN"/>
        </w:rPr>
      </w:pPr>
      <w:r>
        <w:rPr>
          <w:rFonts w:hint="eastAsia" w:ascii="仿宋" w:hAnsi="仿宋" w:eastAsia="仿宋" w:cs="仿宋"/>
          <w:b/>
          <w:sz w:val="24"/>
        </w:rPr>
        <w:t>1．</w:t>
      </w:r>
      <w:r>
        <w:rPr>
          <w:rFonts w:hint="eastAsia" w:ascii="仿宋" w:hAnsi="仿宋" w:eastAsia="仿宋" w:cs="仿宋"/>
          <w:b/>
          <w:bCs/>
          <w:sz w:val="24"/>
          <w:lang w:val="en-US" w:eastAsia="zh-CN"/>
        </w:rPr>
        <w:t>开标程序：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1.1开标会按照采购公告规定的时间、地点组织开标，由采购单位主持，主持人宣布开标会议开始。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1.2主持人介绍参加开标会的人员名单。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1.3主持人宣布评标期间的有关事项，告知应当回避的情形，提请有关人员回避。</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1.4投标人或其当场推荐的代表检查投标文件密封的完整性并签字确认。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1.5主持人按有效报名顺序依次拆封投标文件。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主持人宣读投标文件有关内容，同时当场制作并打印《开标记录表》，由各投标人法定代表人或其授权代表在开标记录表上签字确认（不予确认的应说明理由，否则视为无异议）。并将投标文件及开标记录表送至评审地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1.7评标委员会对投标文件的合理性、准确性、有效性等进行审查核实。评审结束后，主持人宣布资格和商务技术评审无效投标人名单及理由，公布中标人名单。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1.8开标会议结束。</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2.2评标委员会由采购人代表组成，成员人数为五人以上单数。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2.5评审小组组长组织评审人员独立评审。评审小组对拟认定为采购响应文件无效、供应商资格不符合的，应组织相关供应商代表进行陈述、澄清或申辩。</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2.7评标委员会不向落标方解释落标的原因。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3.3如果投标文件实质不响应招标文件的各项要求，评标委员会将予以拒绝，并且不允许投标人通过修改或撤销其不符合要求的差异或保留，使之成为具有实质性响应的投标。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4</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5.4在评审过程中，如属于实质性偏离或符合无效响应条件的，应当询问相关投标人，但不允许对偏离条款进行补充、修正或撤回。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5.6.1评标委员会认为投标人的报价明显低于其他通过符合性审查投标人的报价，有可能影响产品质量或者不能诚信履约的，应当要求其在合理的时间内提供说明，必要时提交相关证明材料。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5.7评标委员会依据招标文件规定的评标标准和方法，对投标文件进行评审和比较后，向采购人提供书面评标报告，并排序推荐中标候选供应商。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lang w:val="en-US" w:eastAsia="zh-CN"/>
        </w:rPr>
        <w:t>6</w:t>
      </w:r>
      <w:r>
        <w:rPr>
          <w:rFonts w:hint="eastAsia" w:ascii="仿宋" w:hAnsi="仿宋" w:eastAsia="仿宋" w:cs="仿宋"/>
          <w:b/>
        </w:rPr>
        <w:t>.投标文件的澄清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.1未按照招标文件规定要求签字或盖章的；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.22.1供应商直接或者间接从采购人处获得其他供应商的相关情况并修改其投标文件或者响应文件；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.22.2供应商按照采购人的授意撤换、修改投标文件或者响应文件；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lang w:val="en-US" w:eastAsia="zh-CN"/>
        </w:rPr>
        <w:t>7</w:t>
      </w:r>
      <w:r>
        <w:rPr>
          <w:rFonts w:hint="eastAsia" w:ascii="仿宋" w:hAnsi="仿宋" w:eastAsia="仿宋" w:cs="仿宋"/>
          <w:b/>
          <w:sz w:val="24"/>
        </w:rPr>
        <w:t>.25其他违反法律、法规的情形。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lang w:val="en-US" w:eastAsia="zh-CN"/>
        </w:rPr>
        <w:t>8</w:t>
      </w:r>
      <w:r>
        <w:rPr>
          <w:rFonts w:hint="eastAsia" w:ascii="仿宋" w:hAnsi="仿宋" w:eastAsia="仿宋" w:cs="仿宋"/>
          <w:b/>
          <w:kern w:val="0"/>
          <w:sz w:val="24"/>
        </w:rPr>
        <w:t>.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7"/>
    <w:p>
      <w:pPr>
        <w:rPr>
          <w:rFonts w:hint="eastAsia" w:ascii="仿宋" w:hAnsi="仿宋" w:eastAsia="仿宋" w:cs="仿宋"/>
          <w:b/>
          <w:sz w:val="32"/>
          <w:szCs w:val="32"/>
        </w:rPr>
      </w:pPr>
      <w:bookmarkStart w:id="8" w:name="_Hlt75236011"/>
      <w:bookmarkEnd w:id="8"/>
      <w:bookmarkStart w:id="9" w:name="_Hlt68057669"/>
      <w:bookmarkEnd w:id="9"/>
      <w:bookmarkStart w:id="10" w:name="_Hlt74729768"/>
      <w:bookmarkEnd w:id="10"/>
      <w:bookmarkStart w:id="11" w:name="_Hlt74714665"/>
      <w:bookmarkEnd w:id="11"/>
      <w:bookmarkStart w:id="12" w:name="_Hlt68072998"/>
      <w:bookmarkEnd w:id="12"/>
      <w:bookmarkStart w:id="13" w:name="_Hlt68073093"/>
      <w:bookmarkEnd w:id="13"/>
      <w:bookmarkStart w:id="14" w:name="_Hlt74730295"/>
      <w:bookmarkEnd w:id="14"/>
      <w:bookmarkStart w:id="15" w:name="_Hlt75236290"/>
      <w:bookmarkEnd w:id="15"/>
      <w:bookmarkStart w:id="16" w:name="_Hlt68403820"/>
      <w:bookmarkEnd w:id="16"/>
      <w:bookmarkStart w:id="17" w:name="_Hlt74707468"/>
      <w:bookmarkEnd w:id="17"/>
      <w:bookmarkStart w:id="18" w:name="_Hlt68072990"/>
      <w:bookmarkEnd w:id="18"/>
      <w:bookmarkStart w:id="19" w:name="_Hlt75236101"/>
      <w:bookmarkEnd w:id="19"/>
      <w:bookmarkStart w:id="20" w:name="_Toc81372776"/>
      <w:bookmarkStart w:id="21" w:name="_Toc84325929"/>
      <w:bookmarkStart w:id="22" w:name="_Toc81372953"/>
      <w:r>
        <w:rPr>
          <w:rFonts w:hint="eastAsia" w:ascii="仿宋" w:hAnsi="仿宋" w:eastAsia="仿宋" w:cs="仿宋"/>
          <w:b/>
          <w:sz w:val="32"/>
          <w:szCs w:val="32"/>
        </w:rPr>
        <w:br w:type="page"/>
      </w:r>
    </w:p>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r>
        <w:rPr>
          <w:rFonts w:hint="eastAsia" w:ascii="仿宋" w:hAnsi="仿宋" w:eastAsia="仿宋" w:cs="仿宋"/>
          <w:b/>
          <w:sz w:val="32"/>
          <w:szCs w:val="32"/>
        </w:rPr>
        <w:t>五、授予合同</w:t>
      </w:r>
    </w:p>
    <w:bookmarkEnd w:id="20"/>
    <w:bookmarkEnd w:id="21"/>
    <w:bookmarkEnd w:id="22"/>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w:t>
      </w:r>
      <w:r>
        <w:rPr>
          <w:rFonts w:hint="eastAsia" w:ascii="仿宋" w:hAnsi="仿宋" w:eastAsia="仿宋" w:cs="仿宋"/>
          <w:sz w:val="24"/>
          <w:lang w:eastAsia="zh-CN"/>
        </w:rPr>
        <w:t>人</w:t>
      </w:r>
      <w:r>
        <w:rPr>
          <w:rFonts w:hint="eastAsia" w:ascii="仿宋" w:hAnsi="仿宋" w:eastAsia="仿宋" w:cs="仿宋"/>
          <w:sz w:val="24"/>
        </w:rPr>
        <w:t>对中标结果在</w:t>
      </w:r>
      <w:r>
        <w:rPr>
          <w:rFonts w:hint="eastAsia" w:ascii="仿宋" w:hAnsi="仿宋" w:eastAsia="仿宋" w:cs="仿宋"/>
          <w:sz w:val="24"/>
          <w:lang w:eastAsia="zh-CN"/>
        </w:rPr>
        <w:t>绍兴图书馆网站</w:t>
      </w:r>
      <w:r>
        <w:rPr>
          <w:rFonts w:hint="eastAsia" w:ascii="仿宋" w:hAnsi="仿宋" w:eastAsia="仿宋" w:cs="仿宋"/>
          <w:sz w:val="24"/>
        </w:rPr>
        <w:t>（</w:t>
      </w:r>
      <w:r>
        <w:rPr>
          <w:rFonts w:hint="eastAsia" w:ascii="仿宋" w:hAnsi="仿宋" w:eastAsia="仿宋" w:cs="仿宋"/>
          <w:sz w:val="24"/>
          <w:lang w:val="en-US" w:eastAsia="zh-CN"/>
        </w:rPr>
        <w:t>www.sxlib.com</w:t>
      </w:r>
      <w:r>
        <w:rPr>
          <w:rFonts w:hint="eastAsia" w:ascii="仿宋" w:hAnsi="仿宋" w:eastAsia="仿宋" w:cs="仿宋"/>
          <w:sz w:val="24"/>
        </w:rPr>
        <w:t>）发布中标公告，中标公告期限为1个工作日。</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xml:space="preserve">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供应商对政府采购活动事项有疑问的，可以提出询问，采购人应当在3个工作日内对供应商依法提出的询问作出答复，但答复的内容不得涉及商业秘密。</w:t>
      </w:r>
    </w:p>
    <w:p>
      <w:pPr>
        <w:adjustRightInd w:val="0"/>
        <w:spacing w:line="336" w:lineRule="auto"/>
        <w:jc w:val="both"/>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pPr>
        <w:adjustRightInd w:val="0"/>
        <w:spacing w:line="336" w:lineRule="auto"/>
        <w:ind w:firstLine="482" w:firstLineChars="200"/>
        <w:jc w:val="both"/>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.1.2供应商认为采购文件、采购过程和成交结果使自己的权益受到损害的，可以在知道或者应知其权益受到损害之日起七个工作日内，以书面形式向采购人提出质疑，否则，采购人不予受理：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4.1质疑供应商对采购人的答复不满意或者采购人未在规定的时间内作出答复的，可以在答复期满后十五个工作日内向同级政府采购监督管理部门提出投诉。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2"/>
          <w:cols w:space="720" w:num="1"/>
          <w:docGrid w:linePitch="312" w:charSpace="0"/>
        </w:sectPr>
      </w:pPr>
    </w:p>
    <w:bookmarkEnd w:id="5"/>
    <w:bookmarkEnd w:id="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23" w:name="第四部分"/>
      <w:r>
        <w:rPr>
          <w:rFonts w:hint="eastAsia" w:ascii="仿宋" w:hAnsi="仿宋" w:eastAsia="仿宋" w:cs="仿宋"/>
          <w:b/>
          <w:sz w:val="36"/>
          <w:szCs w:val="36"/>
        </w:rPr>
        <w:t>第三部分   招标项目范围及要求</w:t>
      </w:r>
    </w:p>
    <w:bookmarkEnd w:id="23"/>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rPr>
      </w:pPr>
      <w:bookmarkStart w:id="24" w:name="第五部分"/>
      <w:bookmarkStart w:id="25" w:name="_Toc86217003"/>
      <w:r>
        <w:rPr>
          <w:rFonts w:hint="eastAsia"/>
          <w:b/>
          <w:bCs/>
          <w:sz w:val="24"/>
          <w:szCs w:val="24"/>
          <w:lang w:eastAsia="zh-CN"/>
        </w:rPr>
        <w:t>一</w:t>
      </w:r>
      <w:r>
        <w:rPr>
          <w:rFonts w:hint="eastAsia"/>
          <w:b/>
          <w:bCs/>
          <w:sz w:val="24"/>
          <w:szCs w:val="24"/>
        </w:rPr>
        <w:t>、出版要求</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1.</w:t>
      </w:r>
      <w:r>
        <w:rPr>
          <w:rFonts w:hint="eastAsia"/>
          <w:sz w:val="24"/>
          <w:szCs w:val="24"/>
          <w:lang w:val="en-US" w:eastAsia="zh-CN"/>
        </w:rPr>
        <w:t xml:space="preserve"> </w:t>
      </w:r>
      <w:r>
        <w:rPr>
          <w:rFonts w:hint="eastAsia"/>
          <w:sz w:val="24"/>
          <w:szCs w:val="24"/>
        </w:rPr>
        <w:t>书号：出版社提供正规书号壹个。</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2. 印数：800册。</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lang w:val="en-US" w:eastAsia="zh-CN"/>
        </w:rPr>
        <w:t>3</w:t>
      </w:r>
      <w:r>
        <w:rPr>
          <w:rFonts w:hint="eastAsia"/>
          <w:sz w:val="24"/>
          <w:szCs w:val="24"/>
        </w:rPr>
        <w:t>.</w:t>
      </w:r>
      <w:r>
        <w:rPr>
          <w:rFonts w:hint="eastAsia"/>
          <w:sz w:val="24"/>
          <w:szCs w:val="24"/>
          <w:lang w:val="en-US" w:eastAsia="zh-CN"/>
        </w:rPr>
        <w:t xml:space="preserve"> </w:t>
      </w:r>
      <w:r>
        <w:rPr>
          <w:rFonts w:hint="eastAsia"/>
          <w:sz w:val="24"/>
          <w:szCs w:val="24"/>
        </w:rPr>
        <w:t>开本：正度16开，185*260mm，页数250-280左右；印张：</w:t>
      </w:r>
      <w:r>
        <w:rPr>
          <w:rFonts w:hint="eastAsia"/>
          <w:sz w:val="24"/>
          <w:szCs w:val="24"/>
          <w:lang w:val="en-US" w:eastAsia="zh-CN"/>
        </w:rPr>
        <w:t>16</w:t>
      </w:r>
      <w:bookmarkStart w:id="151" w:name="_GoBack"/>
      <w:bookmarkEnd w:id="151"/>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lang w:val="en-US" w:eastAsia="zh-CN"/>
        </w:rPr>
        <w:t>4</w:t>
      </w:r>
      <w:r>
        <w:rPr>
          <w:rFonts w:hint="eastAsia"/>
          <w:sz w:val="24"/>
          <w:szCs w:val="24"/>
        </w:rPr>
        <w:t>.</w:t>
      </w:r>
      <w:r>
        <w:rPr>
          <w:rFonts w:hint="eastAsia"/>
          <w:sz w:val="24"/>
          <w:szCs w:val="24"/>
          <w:lang w:val="en-US" w:eastAsia="zh-CN"/>
        </w:rPr>
        <w:t xml:space="preserve"> </w:t>
      </w:r>
      <w:r>
        <w:rPr>
          <w:rFonts w:hint="eastAsia"/>
          <w:sz w:val="24"/>
          <w:szCs w:val="24"/>
        </w:rPr>
        <w:t>纸张：内文为70克轻型纸，封面250克无光铜版纸，覆膜。</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lang w:val="en-US" w:eastAsia="zh-CN"/>
        </w:rPr>
        <w:t>5</w:t>
      </w:r>
      <w:r>
        <w:rPr>
          <w:rFonts w:hint="eastAsia"/>
          <w:sz w:val="24"/>
          <w:szCs w:val="24"/>
        </w:rPr>
        <w:t>. 编审要求：严格执行三审三校制度，书稿编校必须达到国家新闻出版署的图书编校质量标准。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lang w:val="en-US" w:eastAsia="zh-CN"/>
        </w:rPr>
        <w:t>6</w:t>
      </w:r>
      <w:r>
        <w:rPr>
          <w:rFonts w:hint="eastAsia"/>
          <w:sz w:val="24"/>
          <w:szCs w:val="24"/>
        </w:rPr>
        <w:t>.</w:t>
      </w:r>
      <w:r>
        <w:rPr>
          <w:rFonts w:hint="eastAsia"/>
          <w:sz w:val="24"/>
          <w:szCs w:val="24"/>
          <w:lang w:val="en-US" w:eastAsia="zh-CN"/>
        </w:rPr>
        <w:t xml:space="preserve"> </w:t>
      </w:r>
      <w:r>
        <w:rPr>
          <w:rFonts w:hint="eastAsia"/>
          <w:sz w:val="24"/>
          <w:szCs w:val="24"/>
        </w:rPr>
        <w:t>印色及装帧：内文黑白印刷。平装，封面带勒口，局部做uv</w:t>
      </w:r>
      <w:r>
        <w:rPr>
          <w:rFonts w:hint="eastAsia"/>
          <w:sz w:val="24"/>
          <w:szCs w:val="24"/>
          <w:lang w:eastAsia="zh-CN"/>
        </w:rPr>
        <w:t>（</w:t>
      </w:r>
      <w:r>
        <w:rPr>
          <w:rFonts w:hint="eastAsia"/>
          <w:sz w:val="24"/>
          <w:szCs w:val="24"/>
        </w:rPr>
        <w:t>或烫金）。供货前需先出小样，由招标方认可后生产。</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印刷质量：要求墨色浓淡均匀，图文清楚（整洁，边框分明）。不存在污损、图文不清、缺页、倒装、缺附件等质量问题。</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lang w:val="en-US" w:eastAsia="zh-CN"/>
        </w:rPr>
        <w:t>8</w:t>
      </w:r>
      <w:r>
        <w:rPr>
          <w:rFonts w:hint="eastAsia"/>
          <w:sz w:val="24"/>
          <w:szCs w:val="24"/>
        </w:rPr>
        <w:t>.</w:t>
      </w:r>
      <w:r>
        <w:rPr>
          <w:rFonts w:hint="eastAsia"/>
          <w:sz w:val="24"/>
          <w:szCs w:val="24"/>
          <w:lang w:val="en-US" w:eastAsia="zh-CN"/>
        </w:rPr>
        <w:t xml:space="preserve"> </w:t>
      </w:r>
      <w:r>
        <w:rPr>
          <w:rFonts w:hint="eastAsia"/>
          <w:sz w:val="24"/>
          <w:szCs w:val="24"/>
        </w:rPr>
        <w:t>交货时间：2025年11月30日前完成出版任务。出书后15天内根据招标方要求送达指定地点，完成验收、交货等工作。</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rPr>
      </w:pPr>
      <w:r>
        <w:rPr>
          <w:rFonts w:hint="eastAsia"/>
          <w:b/>
          <w:bCs/>
          <w:sz w:val="24"/>
          <w:szCs w:val="24"/>
          <w:lang w:eastAsia="zh-CN"/>
        </w:rPr>
        <w:t>二</w:t>
      </w:r>
      <w:r>
        <w:rPr>
          <w:rFonts w:hint="eastAsia"/>
          <w:b/>
          <w:bCs/>
          <w:sz w:val="24"/>
          <w:szCs w:val="24"/>
        </w:rPr>
        <w:t>、付款方式</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合同签订后10天内支付合同价40%；书稿完成初审支付合同价30%；余额在出版完成通过验收后一次性付款（须提供符合财务制度要求的正规发票）。</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rPr>
      </w:pPr>
      <w:r>
        <w:rPr>
          <w:rFonts w:hint="eastAsia"/>
          <w:b/>
          <w:bCs/>
          <w:sz w:val="24"/>
          <w:szCs w:val="24"/>
          <w:lang w:eastAsia="zh-CN"/>
        </w:rPr>
        <w:t>三</w:t>
      </w:r>
      <w:r>
        <w:rPr>
          <w:rFonts w:hint="eastAsia"/>
          <w:b/>
          <w:bCs/>
          <w:sz w:val="24"/>
          <w:szCs w:val="24"/>
        </w:rPr>
        <w:t>、其他</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1.</w:t>
      </w:r>
      <w:r>
        <w:rPr>
          <w:rFonts w:hint="eastAsia"/>
          <w:sz w:val="24"/>
          <w:szCs w:val="24"/>
          <w:lang w:val="en-US" w:eastAsia="zh-CN"/>
        </w:rPr>
        <w:t xml:space="preserve"> </w:t>
      </w:r>
      <w:r>
        <w:rPr>
          <w:rFonts w:hint="eastAsia"/>
          <w:sz w:val="24"/>
          <w:szCs w:val="24"/>
        </w:rPr>
        <w:t>投标方中标后在7日内凭中标通知书与招标方签订合同。逾期签订合同的，作自动放弃。</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eastAsiaTheme="minorEastAsia"/>
          <w:sz w:val="24"/>
          <w:szCs w:val="24"/>
          <w:lang w:val="en-US" w:eastAsia="zh-CN"/>
        </w:rPr>
      </w:pPr>
      <w:r>
        <w:rPr>
          <w:rFonts w:hint="eastAsia"/>
          <w:sz w:val="24"/>
          <w:szCs w:val="24"/>
          <w:lang w:val="en-US" w:eastAsia="zh-CN"/>
        </w:rPr>
        <w:t>2</w:t>
      </w:r>
      <w:r>
        <w:rPr>
          <w:rFonts w:hint="eastAsia"/>
          <w:sz w:val="24"/>
          <w:szCs w:val="24"/>
        </w:rPr>
        <w:t>.</w:t>
      </w:r>
      <w:r>
        <w:rPr>
          <w:rFonts w:hint="eastAsia"/>
          <w:sz w:val="24"/>
          <w:szCs w:val="24"/>
          <w:lang w:val="en-US" w:eastAsia="zh-CN"/>
        </w:rPr>
        <w:t xml:space="preserve"> </w:t>
      </w:r>
      <w:r>
        <w:rPr>
          <w:rFonts w:hint="eastAsia"/>
          <w:sz w:val="24"/>
          <w:szCs w:val="24"/>
          <w:lang w:eastAsia="zh-CN"/>
        </w:rPr>
        <w:t>招标方于</w:t>
      </w:r>
      <w:r>
        <w:rPr>
          <w:rFonts w:hint="eastAsia"/>
          <w:sz w:val="24"/>
          <w:szCs w:val="24"/>
        </w:rPr>
        <w:t>2025年7月30日前</w:t>
      </w:r>
      <w:r>
        <w:rPr>
          <w:rFonts w:hint="eastAsia"/>
          <w:sz w:val="24"/>
          <w:szCs w:val="24"/>
          <w:lang w:eastAsia="zh-CN"/>
        </w:rPr>
        <w:t>向中标方</w:t>
      </w:r>
      <w:r>
        <w:rPr>
          <w:rFonts w:hint="eastAsia"/>
          <w:sz w:val="24"/>
          <w:szCs w:val="24"/>
        </w:rPr>
        <w:t>提供</w:t>
      </w:r>
      <w:r>
        <w:rPr>
          <w:rFonts w:hint="eastAsia"/>
          <w:sz w:val="24"/>
          <w:szCs w:val="24"/>
          <w:lang w:eastAsia="zh-CN"/>
        </w:rPr>
        <w:t>书稿</w:t>
      </w:r>
      <w:r>
        <w:rPr>
          <w:rFonts w:hint="eastAsia"/>
          <w:sz w:val="24"/>
          <w:szCs w:val="24"/>
        </w:rPr>
        <w:t>电子版</w:t>
      </w:r>
      <w:r>
        <w:rPr>
          <w:rFonts w:hint="eastAsia"/>
          <w:sz w:val="24"/>
          <w:szCs w:val="24"/>
          <w:lang w:eastAsia="zh-CN"/>
        </w:rPr>
        <w:t>，中标方于</w:t>
      </w:r>
      <w:r>
        <w:rPr>
          <w:rFonts w:hint="eastAsia"/>
          <w:sz w:val="24"/>
          <w:szCs w:val="24"/>
          <w:lang w:val="en-US" w:eastAsia="zh-CN"/>
        </w:rPr>
        <w:t>2个月内对书稿完成初审。</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lang w:val="en-US" w:eastAsia="zh-CN"/>
        </w:rPr>
        <w:t>3</w:t>
      </w:r>
      <w:r>
        <w:rPr>
          <w:rFonts w:hint="eastAsia"/>
          <w:sz w:val="24"/>
          <w:szCs w:val="24"/>
        </w:rPr>
        <w:t>.</w:t>
      </w:r>
      <w:r>
        <w:rPr>
          <w:rFonts w:hint="eastAsia"/>
          <w:sz w:val="24"/>
          <w:szCs w:val="24"/>
          <w:lang w:val="en-US" w:eastAsia="zh-CN"/>
        </w:rPr>
        <w:t xml:space="preserve"> </w:t>
      </w:r>
      <w:r>
        <w:rPr>
          <w:rFonts w:hint="eastAsia"/>
          <w:sz w:val="24"/>
          <w:szCs w:val="24"/>
        </w:rPr>
        <w:t>运输要求：</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（1）投标方采用满足运输距离、防湿和防破装卸要求的隔水包装纸进行包装，以保证图书安全运输到达招标方指定地点。</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2）投标方在发货时提供内容一致、不得涂改的图书清单一式贰份，清单内容包括：包号、书名、册数。一份附于包装货件内，一包一单；另一份要求以包装号为序，统计该批次图书的总册数，并加盖公章交给招标方。</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（3）投标方在图书发运的前一天，用电话、信函或传真通知招标方，以便准备接货。</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lang w:val="en-US" w:eastAsia="zh-CN"/>
        </w:rPr>
        <w:t>4</w:t>
      </w:r>
      <w:r>
        <w:rPr>
          <w:rFonts w:hint="eastAsia"/>
          <w:sz w:val="24"/>
          <w:szCs w:val="24"/>
        </w:rPr>
        <w:t>.</w:t>
      </w:r>
      <w:r>
        <w:rPr>
          <w:rFonts w:hint="eastAsia"/>
          <w:sz w:val="24"/>
          <w:szCs w:val="24"/>
          <w:lang w:val="en-US" w:eastAsia="zh-CN"/>
        </w:rPr>
        <w:t xml:space="preserve"> </w:t>
      </w:r>
      <w:r>
        <w:rPr>
          <w:rFonts w:hint="eastAsia"/>
          <w:sz w:val="24"/>
          <w:szCs w:val="24"/>
        </w:rPr>
        <w:t>违约责任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szCs w:val="24"/>
        </w:rPr>
      </w:pPr>
      <w:r>
        <w:rPr>
          <w:rFonts w:hint="eastAsia"/>
          <w:sz w:val="24"/>
          <w:szCs w:val="24"/>
        </w:rPr>
        <w:t>（1）因印刷质量所引起的返工、重印等责任均由中标人自负。</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szCs w:val="24"/>
        </w:rPr>
      </w:pPr>
      <w:r>
        <w:rPr>
          <w:rFonts w:hint="eastAsia"/>
          <w:sz w:val="24"/>
          <w:szCs w:val="24"/>
        </w:rPr>
        <w:t>（2）图书在到达招标方指定地点前发生的不可预见的风险均由投标方负责。</w:t>
      </w:r>
    </w:p>
    <w:p>
      <w:pPr>
        <w:pStyle w:val="2"/>
        <w:widowControl w:val="0"/>
        <w:numPr>
          <w:ilvl w:val="0"/>
          <w:numId w:val="0"/>
        </w:numPr>
        <w:autoSpaceDE w:val="0"/>
        <w:autoSpaceDN w:val="0"/>
        <w:adjustRightInd w:val="0"/>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p>
    <w:p>
      <w:pPr>
        <w:pStyle w:val="2"/>
        <w:rPr>
          <w:rFonts w:hint="eastAsia" w:ascii="仿宋" w:hAnsi="仿宋" w:eastAsia="仿宋" w:cs="仿宋"/>
          <w:b w:val="0"/>
          <w:bCs w:val="0"/>
          <w:i w:val="0"/>
          <w:iCs w:val="0"/>
          <w:color w:val="auto"/>
          <w:kern w:val="2"/>
          <w:sz w:val="24"/>
          <w:szCs w:val="20"/>
          <w:highlight w:val="none"/>
          <w:vertAlign w:val="baseline"/>
          <w:lang w:val="en-US" w:eastAsia="zh-CN" w:bidi="ar-SA"/>
        </w:rPr>
      </w:pPr>
    </w:p>
    <w:p>
      <w:pPr>
        <w:pStyle w:val="3"/>
        <w:rPr>
          <w:rFonts w:hint="eastAsia" w:ascii="仿宋" w:hAnsi="仿宋" w:eastAsia="仿宋" w:cs="仿宋"/>
          <w:b w:val="0"/>
          <w:bCs w:val="0"/>
          <w:i w:val="0"/>
          <w:iCs w:val="0"/>
          <w:color w:val="auto"/>
          <w:kern w:val="2"/>
          <w:sz w:val="24"/>
          <w:szCs w:val="20"/>
          <w:highlight w:val="none"/>
          <w:vertAlign w:val="baseline"/>
          <w:lang w:val="en-US" w:eastAsia="zh-CN" w:bidi="ar-SA"/>
        </w:rPr>
      </w:pPr>
    </w:p>
    <w:p>
      <w:pPr>
        <w:rPr>
          <w:rFonts w:hint="eastAsia" w:ascii="仿宋" w:hAnsi="仿宋" w:eastAsia="仿宋" w:cs="仿宋"/>
          <w:b w:val="0"/>
          <w:bCs w:val="0"/>
          <w:i w:val="0"/>
          <w:iCs w:val="0"/>
          <w:color w:val="auto"/>
          <w:kern w:val="2"/>
          <w:sz w:val="24"/>
          <w:szCs w:val="20"/>
          <w:highlight w:val="none"/>
          <w:vertAlign w:val="baseline"/>
          <w:lang w:val="en-US" w:eastAsia="zh-CN" w:bidi="ar-SA"/>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5"/>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26" w:name="_Toc28855"/>
      <w:bookmarkStart w:id="27" w:name="_Toc22967"/>
      <w:bookmarkStart w:id="28" w:name="_Toc19273"/>
      <w:bookmarkStart w:id="29" w:name="_Toc20421"/>
      <w:bookmarkStart w:id="30" w:name="_Toc15367"/>
      <w:r>
        <w:rPr>
          <w:rFonts w:hint="eastAsia" w:ascii="仿宋" w:hAnsi="仿宋" w:eastAsia="仿宋" w:cs="仿宋"/>
          <w:b/>
          <w:sz w:val="24"/>
        </w:rPr>
        <w:t>1.1 合同组成部分</w:t>
      </w:r>
      <w:bookmarkEnd w:id="26"/>
      <w:bookmarkEnd w:id="27"/>
      <w:bookmarkEnd w:id="28"/>
      <w:bookmarkEnd w:id="29"/>
      <w:bookmarkEnd w:id="3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31" w:name="_Toc22185"/>
      <w:bookmarkStart w:id="32" w:name="_Toc6773"/>
      <w:bookmarkStart w:id="33" w:name="_Toc18585"/>
      <w:bookmarkStart w:id="34" w:name="_Toc6311"/>
      <w:bookmarkStart w:id="35" w:name="_Toc2918"/>
      <w:r>
        <w:rPr>
          <w:rFonts w:hint="eastAsia" w:ascii="仿宋" w:hAnsi="仿宋" w:eastAsia="仿宋" w:cs="仿宋"/>
          <w:b/>
          <w:sz w:val="24"/>
        </w:rPr>
        <w:t>1.2 标的</w:t>
      </w:r>
      <w:bookmarkEnd w:id="31"/>
      <w:bookmarkEnd w:id="32"/>
      <w:bookmarkEnd w:id="33"/>
      <w:bookmarkEnd w:id="34"/>
      <w:bookmarkEnd w:id="3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36" w:name="_Toc13918"/>
      <w:bookmarkStart w:id="37" w:name="_Toc1386"/>
      <w:bookmarkStart w:id="38" w:name="_Toc21124"/>
      <w:bookmarkStart w:id="39" w:name="_Toc5635"/>
      <w:bookmarkStart w:id="40" w:name="_Toc4929"/>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36"/>
      <w:bookmarkEnd w:id="37"/>
      <w:bookmarkEnd w:id="38"/>
      <w:bookmarkEnd w:id="39"/>
      <w:bookmarkEnd w:id="4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41" w:name="_Toc30158"/>
      <w:bookmarkStart w:id="42" w:name="_Toc14993"/>
      <w:bookmarkStart w:id="43" w:name="_Toc26916"/>
      <w:bookmarkStart w:id="44" w:name="_Toc30506"/>
      <w:bookmarkStart w:id="45"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1"/>
    <w:bookmarkEnd w:id="42"/>
    <w:bookmarkEnd w:id="43"/>
    <w:bookmarkEnd w:id="44"/>
    <w:bookmarkEnd w:id="45"/>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46" w:name="_Toc22618"/>
      <w:bookmarkStart w:id="47" w:name="_Toc10340"/>
      <w:bookmarkStart w:id="48" w:name="_Toc1814"/>
      <w:bookmarkStart w:id="49" w:name="_Toc4760"/>
      <w:bookmarkStart w:id="50" w:name="_Toc31421"/>
      <w:bookmarkStart w:id="51" w:name="_Toc3625"/>
      <w:bookmarkStart w:id="52" w:name="_Toc8772"/>
      <w:bookmarkStart w:id="53" w:name="_Toc11108"/>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46"/>
      <w:bookmarkEnd w:id="47"/>
      <w:bookmarkEnd w:id="48"/>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49"/>
      <w:bookmarkEnd w:id="50"/>
      <w:bookmarkEnd w:id="51"/>
      <w:bookmarkEnd w:id="52"/>
      <w:bookmarkEnd w:id="5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54" w:name="_Toc2375"/>
      <w:bookmarkStart w:id="55" w:name="_Toc5698"/>
      <w:bookmarkStart w:id="56" w:name="_Toc8586"/>
      <w:bookmarkStart w:id="57" w:name="_Toc24662"/>
      <w:bookmarkStart w:id="58"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54"/>
      <w:bookmarkEnd w:id="55"/>
      <w:bookmarkEnd w:id="56"/>
      <w:bookmarkEnd w:id="57"/>
      <w:bookmarkEnd w:id="5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9" w:name="_Toc26807"/>
      <w:bookmarkStart w:id="60" w:name="_Toc18683"/>
      <w:bookmarkStart w:id="61" w:name="_Toc32454"/>
      <w:bookmarkStart w:id="62" w:name="_Toc30329"/>
      <w:bookmarkStart w:id="63"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59"/>
    <w:bookmarkEnd w:id="60"/>
    <w:bookmarkEnd w:id="61"/>
    <w:bookmarkEnd w:id="62"/>
    <w:bookmarkEnd w:id="63"/>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4" w:name="_Toc16021"/>
      <w:bookmarkStart w:id="65" w:name="_Toc15583"/>
      <w:bookmarkStart w:id="66" w:name="_Toc28375"/>
      <w:r>
        <w:rPr>
          <w:rFonts w:hint="eastAsia" w:ascii="仿宋" w:hAnsi="仿宋" w:eastAsia="仿宋" w:cs="仿宋"/>
          <w:b/>
          <w:sz w:val="24"/>
        </w:rPr>
        <w:t>1.9合同争议的解决</w:t>
      </w:r>
      <w:bookmarkEnd w:id="64"/>
      <w:bookmarkEnd w:id="65"/>
      <w:bookmarkEnd w:id="6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7" w:name="_Toc11173"/>
      <w:bookmarkStart w:id="68" w:name="_Toc15322"/>
      <w:bookmarkStart w:id="69" w:name="_Toc7245"/>
      <w:r>
        <w:rPr>
          <w:rFonts w:hint="eastAsia" w:ascii="仿宋" w:hAnsi="仿宋" w:eastAsia="仿宋" w:cs="仿宋"/>
          <w:b/>
          <w:sz w:val="24"/>
        </w:rPr>
        <w:t>2.0 合同生效</w:t>
      </w:r>
      <w:bookmarkEnd w:id="67"/>
      <w:bookmarkEnd w:id="68"/>
      <w:bookmarkEnd w:id="6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left="0" w:leftChars="0" w:firstLine="482" w:firstLineChars="200"/>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70" w:name="_Toc31297"/>
      <w:bookmarkStart w:id="71" w:name="_Toc19680"/>
      <w:bookmarkStart w:id="72" w:name="_Toc25079"/>
      <w:bookmarkStart w:id="73" w:name="_Toc14021"/>
      <w:bookmarkStart w:id="74" w:name="_Toc5228"/>
      <w:r>
        <w:rPr>
          <w:rFonts w:hint="eastAsia" w:ascii="仿宋" w:hAnsi="仿宋" w:eastAsia="仿宋" w:cs="仿宋"/>
          <w:b/>
          <w:sz w:val="24"/>
        </w:rPr>
        <w:t>2.1 定义</w:t>
      </w:r>
      <w:bookmarkEnd w:id="70"/>
      <w:bookmarkEnd w:id="71"/>
      <w:bookmarkEnd w:id="72"/>
      <w:bookmarkEnd w:id="73"/>
      <w:bookmarkEnd w:id="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75" w:name="_Toc3769"/>
      <w:bookmarkStart w:id="76" w:name="_Toc19539"/>
      <w:bookmarkStart w:id="77" w:name="_Toc31402"/>
      <w:bookmarkStart w:id="78" w:name="_Toc16752"/>
      <w:bookmarkStart w:id="79" w:name="_Toc23289"/>
      <w:r>
        <w:rPr>
          <w:rFonts w:hint="eastAsia" w:ascii="仿宋" w:hAnsi="仿宋" w:eastAsia="仿宋" w:cs="仿宋"/>
          <w:b/>
          <w:sz w:val="24"/>
        </w:rPr>
        <w:t>2.2 技术规范</w:t>
      </w:r>
      <w:bookmarkEnd w:id="75"/>
      <w:bookmarkEnd w:id="76"/>
      <w:bookmarkEnd w:id="77"/>
      <w:bookmarkEnd w:id="78"/>
      <w:bookmarkEnd w:id="7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0" w:name="_Toc9161"/>
      <w:bookmarkStart w:id="81" w:name="_Toc27945"/>
      <w:bookmarkStart w:id="82" w:name="_Toc12412"/>
      <w:bookmarkStart w:id="83" w:name="_Toc13673"/>
      <w:bookmarkStart w:id="84" w:name="_Toc4133"/>
      <w:r>
        <w:rPr>
          <w:rFonts w:hint="eastAsia" w:ascii="仿宋" w:hAnsi="仿宋" w:eastAsia="仿宋" w:cs="仿宋"/>
          <w:b/>
          <w:sz w:val="24"/>
        </w:rPr>
        <w:t>2.3 知识产权</w:t>
      </w:r>
      <w:bookmarkEnd w:id="80"/>
      <w:bookmarkEnd w:id="81"/>
      <w:bookmarkEnd w:id="82"/>
      <w:bookmarkEnd w:id="83"/>
      <w:bookmarkEnd w:id="8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85" w:name="_Toc15447"/>
      <w:bookmarkStart w:id="86" w:name="_Toc26555"/>
      <w:bookmarkStart w:id="87" w:name="_Toc22011"/>
      <w:bookmarkStart w:id="88" w:name="_Toc31233"/>
      <w:bookmarkStart w:id="89" w:name="_Toc32670"/>
      <w:r>
        <w:rPr>
          <w:rFonts w:hint="eastAsia" w:ascii="仿宋" w:hAnsi="仿宋" w:eastAsia="仿宋" w:cs="仿宋"/>
          <w:b/>
          <w:sz w:val="24"/>
        </w:rPr>
        <w:t>2.5 结算方式和付款条件</w:t>
      </w:r>
      <w:bookmarkEnd w:id="85"/>
      <w:bookmarkEnd w:id="86"/>
      <w:bookmarkEnd w:id="87"/>
      <w:bookmarkEnd w:id="88"/>
      <w:bookmarkEnd w:id="8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0" w:name="_Toc16163"/>
      <w:bookmarkStart w:id="91" w:name="_Toc13467"/>
      <w:bookmarkStart w:id="92" w:name="_Toc18990"/>
      <w:bookmarkStart w:id="93" w:name="_Toc13154"/>
      <w:bookmarkStart w:id="94" w:name="_Toc30507"/>
      <w:r>
        <w:rPr>
          <w:rFonts w:hint="eastAsia" w:ascii="仿宋" w:hAnsi="仿宋" w:eastAsia="仿宋" w:cs="仿宋"/>
          <w:b/>
          <w:sz w:val="24"/>
        </w:rPr>
        <w:t>2.6 技术资料和保密义务</w:t>
      </w:r>
      <w:bookmarkEnd w:id="90"/>
      <w:bookmarkEnd w:id="91"/>
      <w:bookmarkEnd w:id="92"/>
      <w:bookmarkEnd w:id="93"/>
      <w:bookmarkEnd w:id="9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95" w:name="_Toc19069"/>
      <w:r>
        <w:rPr>
          <w:rFonts w:hint="eastAsia" w:ascii="仿宋" w:hAnsi="仿宋" w:eastAsia="仿宋" w:cs="仿宋"/>
          <w:b/>
          <w:sz w:val="24"/>
        </w:rPr>
        <w:t>2.7 质量保证</w:t>
      </w:r>
      <w:bookmarkEnd w:id="9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96" w:name="_Toc22267"/>
      <w:r>
        <w:rPr>
          <w:rFonts w:hint="eastAsia" w:ascii="仿宋" w:hAnsi="仿宋" w:eastAsia="仿宋" w:cs="仿宋"/>
          <w:b/>
          <w:sz w:val="24"/>
        </w:rPr>
        <w:t>2.8 延迟履行</w:t>
      </w:r>
      <w:bookmarkEnd w:id="9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97" w:name="_Toc10611"/>
      <w:r>
        <w:rPr>
          <w:rFonts w:hint="eastAsia" w:ascii="仿宋" w:hAnsi="仿宋" w:eastAsia="仿宋" w:cs="仿宋"/>
          <w:b/>
          <w:sz w:val="24"/>
        </w:rPr>
        <w:t>2.9 合同变更</w:t>
      </w:r>
      <w:bookmarkEnd w:id="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98" w:name="_Toc10663"/>
      <w:bookmarkStart w:id="99" w:name="_Toc23368"/>
      <w:bookmarkStart w:id="100" w:name="_Toc42"/>
      <w:bookmarkStart w:id="101" w:name="_Toc21830"/>
      <w:bookmarkStart w:id="102" w:name="_Toc26689"/>
      <w:r>
        <w:rPr>
          <w:rFonts w:hint="eastAsia" w:ascii="仿宋" w:hAnsi="仿宋" w:eastAsia="仿宋" w:cs="仿宋"/>
          <w:b/>
          <w:sz w:val="24"/>
        </w:rPr>
        <w:t>2.10 合同转让和分包</w:t>
      </w:r>
      <w:bookmarkEnd w:id="98"/>
      <w:bookmarkEnd w:id="99"/>
      <w:bookmarkEnd w:id="100"/>
      <w:bookmarkEnd w:id="101"/>
      <w:bookmarkEnd w:id="10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03" w:name="_Toc32494"/>
      <w:bookmarkStart w:id="104" w:name="_Toc4720"/>
      <w:bookmarkStart w:id="105" w:name="_Toc14371"/>
      <w:bookmarkStart w:id="106" w:name="_Toc25571"/>
      <w:bookmarkStart w:id="107" w:name="_Toc26633"/>
      <w:r>
        <w:rPr>
          <w:rFonts w:hint="eastAsia" w:ascii="仿宋" w:hAnsi="仿宋" w:eastAsia="仿宋" w:cs="仿宋"/>
          <w:b/>
          <w:sz w:val="24"/>
        </w:rPr>
        <w:t>2.11 不可抗力</w:t>
      </w:r>
      <w:bookmarkEnd w:id="103"/>
      <w:bookmarkEnd w:id="104"/>
      <w:bookmarkEnd w:id="105"/>
      <w:bookmarkEnd w:id="106"/>
      <w:bookmarkEnd w:id="10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08" w:name="_Toc25783"/>
      <w:bookmarkStart w:id="109" w:name="_Toc23854"/>
      <w:bookmarkStart w:id="110" w:name="_Toc24465"/>
      <w:bookmarkStart w:id="111" w:name="_Toc3638"/>
      <w:bookmarkStart w:id="112" w:name="_Toc14115"/>
      <w:r>
        <w:rPr>
          <w:rFonts w:hint="eastAsia" w:ascii="仿宋" w:hAnsi="仿宋" w:eastAsia="仿宋" w:cs="仿宋"/>
          <w:b/>
          <w:sz w:val="24"/>
        </w:rPr>
        <w:t>2.12 税费</w:t>
      </w:r>
      <w:bookmarkEnd w:id="108"/>
      <w:bookmarkEnd w:id="109"/>
      <w:bookmarkEnd w:id="110"/>
      <w:bookmarkEnd w:id="111"/>
      <w:bookmarkEnd w:id="1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13" w:name="_Toc14814"/>
      <w:bookmarkStart w:id="114" w:name="_Toc7315"/>
      <w:bookmarkStart w:id="115" w:name="_Toc26883"/>
      <w:bookmarkStart w:id="116" w:name="_Toc30105"/>
      <w:bookmarkStart w:id="117" w:name="_Toc25525"/>
      <w:r>
        <w:rPr>
          <w:rFonts w:hint="eastAsia" w:ascii="仿宋" w:hAnsi="仿宋" w:eastAsia="仿宋" w:cs="仿宋"/>
          <w:b/>
          <w:sz w:val="24"/>
        </w:rPr>
        <w:t>2.13 乙方破产</w:t>
      </w:r>
      <w:bookmarkEnd w:id="113"/>
      <w:bookmarkEnd w:id="114"/>
      <w:bookmarkEnd w:id="115"/>
      <w:bookmarkEnd w:id="116"/>
      <w:bookmarkEnd w:id="1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18" w:name="_Toc2016"/>
      <w:bookmarkStart w:id="119" w:name="_Toc1123"/>
      <w:bookmarkStart w:id="120" w:name="_Toc23323"/>
      <w:r>
        <w:rPr>
          <w:rFonts w:hint="eastAsia" w:ascii="仿宋" w:hAnsi="仿宋" w:eastAsia="仿宋" w:cs="仿宋"/>
          <w:b/>
          <w:sz w:val="24"/>
        </w:rPr>
        <w:t>2.14 合同中止、终止</w:t>
      </w:r>
      <w:bookmarkEnd w:id="118"/>
      <w:bookmarkEnd w:id="119"/>
      <w:bookmarkEnd w:id="1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21" w:name="_Toc17363"/>
      <w:bookmarkStart w:id="122" w:name="_Toc14525"/>
      <w:bookmarkStart w:id="123" w:name="_Toc1969"/>
      <w:r>
        <w:rPr>
          <w:rFonts w:hint="eastAsia" w:ascii="仿宋" w:hAnsi="仿宋" w:eastAsia="仿宋" w:cs="仿宋"/>
          <w:b/>
          <w:sz w:val="24"/>
        </w:rPr>
        <w:t>2.15 检验和验收</w:t>
      </w:r>
      <w:bookmarkEnd w:id="121"/>
      <w:bookmarkEnd w:id="122"/>
      <w:bookmarkEnd w:id="123"/>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24" w:name="_Toc2308"/>
      <w:bookmarkStart w:id="125" w:name="_Toc31892"/>
      <w:bookmarkStart w:id="126" w:name="_Toc12666"/>
      <w:bookmarkStart w:id="127" w:name="_Toc9808"/>
      <w:bookmarkStart w:id="128" w:name="_Toc25198"/>
      <w:r>
        <w:rPr>
          <w:rFonts w:hint="eastAsia" w:ascii="仿宋" w:hAnsi="仿宋" w:eastAsia="仿宋" w:cs="仿宋"/>
          <w:b/>
          <w:sz w:val="24"/>
        </w:rPr>
        <w:t>2.16 通知和送达</w:t>
      </w:r>
      <w:bookmarkEnd w:id="124"/>
      <w:bookmarkEnd w:id="125"/>
      <w:bookmarkEnd w:id="126"/>
      <w:bookmarkEnd w:id="127"/>
      <w:bookmarkEnd w:id="128"/>
    </w:p>
    <w:p>
      <w:pPr>
        <w:spacing w:line="560" w:lineRule="exact"/>
        <w:ind w:firstLine="480" w:firstLineChars="200"/>
        <w:rPr>
          <w:rFonts w:hint="eastAsia" w:ascii="仿宋" w:hAnsi="仿宋" w:eastAsia="仿宋" w:cs="仿宋"/>
          <w:sz w:val="24"/>
        </w:rPr>
      </w:pPr>
      <w:bookmarkStart w:id="129" w:name="_Toc18401"/>
      <w:bookmarkStart w:id="130"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9"/>
      <w:bookmarkEnd w:id="130"/>
    </w:p>
    <w:p>
      <w:pPr>
        <w:spacing w:line="560" w:lineRule="exact"/>
        <w:ind w:firstLine="482" w:firstLineChars="200"/>
        <w:outlineLvl w:val="0"/>
        <w:rPr>
          <w:rFonts w:hint="eastAsia" w:ascii="仿宋" w:hAnsi="仿宋" w:eastAsia="仿宋" w:cs="仿宋"/>
          <w:b/>
          <w:sz w:val="24"/>
        </w:rPr>
      </w:pPr>
      <w:bookmarkStart w:id="131" w:name="_Toc5063"/>
      <w:bookmarkStart w:id="132" w:name="_Toc28906"/>
      <w:bookmarkStart w:id="133" w:name="_Toc12254"/>
      <w:bookmarkStart w:id="134" w:name="_Toc20808"/>
      <w:bookmarkStart w:id="135" w:name="_Toc27644"/>
      <w:r>
        <w:rPr>
          <w:rFonts w:hint="eastAsia" w:ascii="仿宋" w:hAnsi="仿宋" w:eastAsia="仿宋" w:cs="仿宋"/>
          <w:b/>
          <w:sz w:val="24"/>
        </w:rPr>
        <w:t>2.17 合同使用的文字和适用的法律</w:t>
      </w:r>
      <w:bookmarkEnd w:id="131"/>
      <w:bookmarkEnd w:id="132"/>
      <w:bookmarkEnd w:id="133"/>
      <w:bookmarkEnd w:id="134"/>
      <w:bookmarkEnd w:id="13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36" w:name="_Toc30599"/>
      <w:bookmarkStart w:id="137" w:name="_Toc4355"/>
      <w:bookmarkStart w:id="138" w:name="_Toc18540"/>
      <w:r>
        <w:rPr>
          <w:rFonts w:hint="eastAsia" w:ascii="仿宋" w:hAnsi="仿宋" w:eastAsia="仿宋" w:cs="仿宋"/>
          <w:b/>
          <w:sz w:val="24"/>
        </w:rPr>
        <w:t>2.18 计量单位</w:t>
      </w:r>
      <w:bookmarkEnd w:id="136"/>
      <w:bookmarkEnd w:id="137"/>
      <w:bookmarkEnd w:id="13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39" w:name="_Toc18567"/>
      <w:bookmarkStart w:id="140" w:name="_Toc259093692"/>
      <w:bookmarkStart w:id="141" w:name="_Toc487900373"/>
      <w:bookmarkStart w:id="142" w:name="_Toc12773"/>
      <w:bookmarkStart w:id="143" w:name="_Toc279701263"/>
      <w:bookmarkStart w:id="144" w:name="_Toc10330"/>
      <w:r>
        <w:rPr>
          <w:rFonts w:hint="eastAsia" w:ascii="仿宋" w:hAnsi="仿宋" w:eastAsia="仿宋" w:cs="仿宋"/>
          <w:b/>
          <w:sz w:val="24"/>
        </w:rPr>
        <w:t>2.19 合同使用的文字和适用的法律</w:t>
      </w:r>
      <w:bookmarkEnd w:id="139"/>
      <w:bookmarkEnd w:id="140"/>
      <w:bookmarkEnd w:id="141"/>
      <w:bookmarkEnd w:id="142"/>
      <w:bookmarkEnd w:id="143"/>
      <w:bookmarkEnd w:id="14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45" w:name="_Toc331685784"/>
      <w:r>
        <w:rPr>
          <w:rFonts w:hint="eastAsia" w:ascii="仿宋" w:hAnsi="仿宋" w:eastAsia="仿宋" w:cs="仿宋"/>
          <w:b/>
          <w:sz w:val="24"/>
        </w:rPr>
        <w:t xml:space="preserve"> </w:t>
      </w:r>
      <w:bookmarkEnd w:id="145"/>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tabs>
          <w:tab w:val="left" w:pos="360"/>
          <w:tab w:val="left" w:pos="540"/>
          <w:tab w:val="left" w:pos="1080"/>
        </w:tabs>
        <w:spacing w:line="560" w:lineRule="exact"/>
        <w:ind w:firstLine="482" w:firstLineChars="200"/>
        <w:rPr>
          <w:rFonts w:hint="eastAsia" w:ascii="仿宋" w:hAnsi="仿宋" w:eastAsia="仿宋" w:cs="仿宋"/>
          <w:b/>
          <w:bCs/>
          <w:sz w:val="24"/>
        </w:rPr>
      </w:pPr>
      <w:r>
        <w:rPr>
          <w:rFonts w:hint="eastAsia" w:ascii="仿宋" w:hAnsi="仿宋" w:eastAsia="仿宋" w:cs="仿宋"/>
          <w:b/>
          <w:bCs/>
          <w:sz w:val="24"/>
        </w:rPr>
        <w:t>本次评标采用最低评标价法。</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开标后，评标委员会首先对投标文件进行符合性审查，凡投标文件实质性内容和授权书格式严重不符合有关规定或不响应招标文件要求者，由评标委员会认定作为无效投标予以废除。对投标文件中的疑问，由评标委员会对投标人进行询标，投标人做出的书面答复作为投标文件的补充，但不得对投标文件的实质性内容进行修改。</w:t>
      </w:r>
    </w:p>
    <w:p>
      <w:pPr>
        <w:tabs>
          <w:tab w:val="left" w:pos="360"/>
          <w:tab w:val="left" w:pos="540"/>
          <w:tab w:val="left" w:pos="1080"/>
        </w:tabs>
        <w:spacing w:line="560" w:lineRule="exact"/>
        <w:ind w:firstLine="480" w:firstLineChars="200"/>
        <w:rPr>
          <w:rFonts w:hint="eastAsia" w:ascii="仿宋" w:hAnsi="仿宋" w:eastAsia="仿宋" w:cs="仿宋"/>
          <w:sz w:val="24"/>
          <w:lang w:eastAsia="zh-CN"/>
        </w:rPr>
      </w:pPr>
      <w:r>
        <w:rPr>
          <w:rFonts w:hint="eastAsia" w:ascii="仿宋" w:hAnsi="仿宋" w:eastAsia="仿宋" w:cs="仿宋"/>
          <w:sz w:val="24"/>
        </w:rPr>
        <w:t>最终有效投标人不足3家的，</w:t>
      </w:r>
      <w:r>
        <w:rPr>
          <w:rFonts w:hint="eastAsia" w:ascii="仿宋" w:hAnsi="仿宋" w:eastAsia="仿宋" w:cs="仿宋"/>
          <w:sz w:val="24"/>
          <w:lang w:eastAsia="zh-CN"/>
        </w:rPr>
        <w:t>按馆小型项目采购管理办法执行。</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评标委员会以开标、审标、询标情况为基本依据</w:t>
      </w:r>
      <w:r>
        <w:rPr>
          <w:rFonts w:hint="eastAsia" w:ascii="仿宋" w:hAnsi="仿宋" w:eastAsia="仿宋" w:cs="仿宋"/>
          <w:sz w:val="24"/>
          <w:lang w:eastAsia="zh-CN"/>
        </w:rPr>
        <w:t>中标方式</w:t>
      </w:r>
      <w:r>
        <w:rPr>
          <w:rFonts w:hint="eastAsia" w:ascii="仿宋" w:hAnsi="仿宋" w:eastAsia="仿宋" w:cs="仿宋"/>
          <w:sz w:val="24"/>
        </w:rPr>
        <w:t>，对有效的投标文件进行分析、评议，在所有有效报价中，以最低报价者为第一中标候选人。当最低报价出现并列时，由招标人当场抽签选定第一中标候选人。由招标人按照中标侯选人的排序依法确定中标人。当确定中标的中标侯选人放弃中标，或者因不可抗力提出不能履行合同的，或者因弄虚作假等原因被取消中标资格的，招标人将重新组织招标。</w:t>
      </w:r>
    </w:p>
    <w:p>
      <w:pPr>
        <w:widowControl/>
        <w:adjustRightInd/>
        <w:jc w:val="cente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pStyle w:val="25"/>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24"/>
      <w:r>
        <w:rPr>
          <w:rFonts w:hint="eastAsia" w:ascii="仿宋" w:hAnsi="仿宋" w:eastAsia="仿宋" w:cs="仿宋"/>
          <w:b/>
          <w:sz w:val="36"/>
          <w:szCs w:val="20"/>
        </w:rPr>
        <w:t xml:space="preserve"> </w:t>
      </w:r>
      <w:bookmarkEnd w:id="25"/>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pStyle w:val="2"/>
        <w:rPr>
          <w:rFonts w:hint="eastAsia" w:ascii="仿宋" w:hAnsi="仿宋" w:eastAsia="仿宋" w:cs="仿宋"/>
          <w:b/>
          <w:kern w:val="0"/>
          <w:sz w:val="24"/>
        </w:rPr>
      </w:pPr>
    </w:p>
    <w:p>
      <w:pPr>
        <w:pStyle w:val="3"/>
        <w:rPr>
          <w:rFonts w:hint="eastAsia" w:ascii="仿宋" w:hAnsi="仿宋" w:eastAsia="仿宋" w:cs="仿宋"/>
          <w:b/>
          <w:kern w:val="0"/>
          <w:sz w:val="24"/>
        </w:rPr>
      </w:pPr>
    </w:p>
    <w:p>
      <w:pPr>
        <w:rPr>
          <w:rFonts w:hint="eastAsia"/>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2"/>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39.4pt;width:405.8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rPr>
        <w:object>
          <v:shape id="_x0000_i1026" o:spt="75" type="#_x0000_t75" style="height:39.4pt;width:403.8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2"/>
        <w:rPr>
          <w:rFonts w:hint="eastAsia"/>
          <w:lang w:eastAsia="zh-CN"/>
        </w:rPr>
      </w:pPr>
    </w:p>
    <w:p>
      <w:pPr>
        <w:rPr>
          <w:rFonts w:hint="eastAsia"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br w:type="page"/>
      </w: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2"/>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2"/>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
        <w:rPr>
          <w:rFonts w:hint="eastAsia"/>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5"/>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ascii="仿宋" w:hAnsi="仿宋" w:eastAsia="仿宋" w:cs="仿宋"/>
          <w:b/>
          <w:color w:val="auto"/>
          <w:sz w:val="24"/>
        </w:rPr>
      </w:pP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lang w:eastAsia="zh-CN"/>
        </w:rPr>
      </w:pP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46" w:name="_Hlk101131882"/>
      <w:r>
        <w:rPr>
          <w:rFonts w:hint="eastAsia" w:ascii="仿宋" w:hAnsi="仿宋" w:eastAsia="仿宋" w:cs="仿宋"/>
          <w:kern w:val="0"/>
          <w:sz w:val="24"/>
          <w:u w:val="single"/>
        </w:rPr>
        <w:t>联合体成员X,……</w:t>
      </w:r>
      <w:bookmarkEnd w:id="14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4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47"/>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4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48"/>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49" w:name="OLE_LINK13"/>
      <w:bookmarkStart w:id="150" w:name="OLE_LINK14"/>
      <w:r>
        <w:rPr>
          <w:rFonts w:hint="eastAsia" w:ascii="仿宋" w:hAnsi="仿宋" w:eastAsia="仿宋" w:cs="仿宋"/>
          <w:b/>
          <w:spacing w:val="6"/>
          <w:sz w:val="32"/>
          <w:szCs w:val="32"/>
        </w:rPr>
        <w:t>残疾人福利性单位声明函</w:t>
      </w:r>
    </w:p>
    <w:bookmarkEnd w:id="149"/>
    <w:bookmarkEnd w:id="150"/>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5"/>
        <w:rPr>
          <w:rFonts w:hint="eastAsia" w:ascii="仿宋" w:hAnsi="仿宋" w:eastAsia="仿宋" w:cs="仿宋"/>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5"/>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wordWrap w:val="0"/>
      <w:jc w:val="both"/>
      <w:rPr>
        <w:rFonts w:hint="default" w:ascii="仿宋" w:hAnsi="仿宋" w:eastAsia="仿宋" w:cs="仿宋"/>
        <w:lang w:val="en-US" w:eastAsia="zh-CN"/>
      </w:rPr>
    </w:pPr>
    <w:r>
      <w:rPr>
        <w:rFonts w:hint="eastAsia" w:ascii="仿宋" w:hAnsi="仿宋" w:eastAsia="仿宋" w:cs="仿宋"/>
        <w:lang w:eastAsia="zh-CN"/>
      </w:rPr>
      <w:t>《树兰文丛》第五辑出版项目</w:t>
    </w:r>
    <w:r>
      <w:rPr>
        <w:rFonts w:hint="eastAsia" w:ascii="仿宋" w:hAnsi="仿宋" w:eastAsia="仿宋" w:cs="仿宋"/>
        <w:lang w:val="en-US" w:eastAsia="zh-CN"/>
      </w:rPr>
      <w:t xml:space="preserve">                                   招标</w:t>
    </w:r>
    <w:r>
      <w:rPr>
        <w:rFonts w:hint="eastAsia" w:ascii="仿宋" w:hAnsi="仿宋" w:eastAsia="仿宋" w:cs="仿宋"/>
      </w:rPr>
      <w:t>编号: SXTSG-ZB-202</w:t>
    </w:r>
    <w:r>
      <w:rPr>
        <w:rFonts w:hint="eastAsia" w:ascii="仿宋" w:hAnsi="仿宋" w:eastAsia="仿宋" w:cs="仿宋"/>
        <w:lang w:val="en-US" w:eastAsia="zh-CN"/>
      </w:rPr>
      <w:t>5</w:t>
    </w:r>
    <w:r>
      <w:rPr>
        <w:rFonts w:hint="eastAsia" w:ascii="仿宋" w:hAnsi="仿宋" w:eastAsia="仿宋" w:cs="仿宋"/>
      </w:rPr>
      <w:t>-</w:t>
    </w:r>
    <w:r>
      <w:rPr>
        <w:rFonts w:hint="eastAsia" w:ascii="仿宋" w:hAnsi="仿宋" w:eastAsia="仿宋" w:cs="仿宋"/>
        <w:lang w:val="en-US" w:eastAsia="zh-CN"/>
      </w:rPr>
      <w:t>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p>
    <w:pPr>
      <w:pStyle w:val="43"/>
      <w:pBdr>
        <w:bottom w:val="none" w:color="auto" w:sz="0" w:space="0"/>
      </w:pBdr>
      <w:tabs>
        <w:tab w:val="clear" w:pos="4153"/>
        <w:tab w:val="clear" w:pos="8306"/>
      </w:tabs>
      <w:ind w:firstLine="519" w:firstLineChars="0"/>
      <w:jc w:val="both"/>
    </w:pP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38E92"/>
    <w:multiLevelType w:val="singleLevel"/>
    <w:tmpl w:val="C5638E92"/>
    <w:lvl w:ilvl="0" w:tentative="0">
      <w:start w:val="6"/>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80AA880"/>
    <w:multiLevelType w:val="singleLevel"/>
    <w:tmpl w:val="080AA880"/>
    <w:lvl w:ilvl="0" w:tentative="0">
      <w:start w:val="7"/>
      <w:numFmt w:val="decimal"/>
      <w:suff w:val="space"/>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7ED4"/>
    <w:rsid w:val="00B34AC1"/>
    <w:rsid w:val="00E05779"/>
    <w:rsid w:val="01896348"/>
    <w:rsid w:val="02815AD4"/>
    <w:rsid w:val="02AB4E2D"/>
    <w:rsid w:val="031F3CB8"/>
    <w:rsid w:val="036B54F7"/>
    <w:rsid w:val="043238C1"/>
    <w:rsid w:val="05E07992"/>
    <w:rsid w:val="060469E3"/>
    <w:rsid w:val="06384F4C"/>
    <w:rsid w:val="06560322"/>
    <w:rsid w:val="06565CEC"/>
    <w:rsid w:val="068A4C3A"/>
    <w:rsid w:val="06E707EB"/>
    <w:rsid w:val="074B6AD9"/>
    <w:rsid w:val="07F32068"/>
    <w:rsid w:val="08624967"/>
    <w:rsid w:val="088F0800"/>
    <w:rsid w:val="089B5E99"/>
    <w:rsid w:val="08DD4097"/>
    <w:rsid w:val="09D5127C"/>
    <w:rsid w:val="09E0316B"/>
    <w:rsid w:val="0A7C7A9F"/>
    <w:rsid w:val="0A835537"/>
    <w:rsid w:val="0AA92EE7"/>
    <w:rsid w:val="0ACE0216"/>
    <w:rsid w:val="0B4A3702"/>
    <w:rsid w:val="0B55023E"/>
    <w:rsid w:val="0B8D2D06"/>
    <w:rsid w:val="0B9C4EC3"/>
    <w:rsid w:val="0BF50639"/>
    <w:rsid w:val="0C33540E"/>
    <w:rsid w:val="0CAD2216"/>
    <w:rsid w:val="0D5C1C70"/>
    <w:rsid w:val="0E0A0C1B"/>
    <w:rsid w:val="0E3A689B"/>
    <w:rsid w:val="0F096B8F"/>
    <w:rsid w:val="0F192FCF"/>
    <w:rsid w:val="0F63063F"/>
    <w:rsid w:val="0FB1096A"/>
    <w:rsid w:val="10052781"/>
    <w:rsid w:val="102A149F"/>
    <w:rsid w:val="10745298"/>
    <w:rsid w:val="107C665E"/>
    <w:rsid w:val="112A3086"/>
    <w:rsid w:val="121209F5"/>
    <w:rsid w:val="1256686B"/>
    <w:rsid w:val="129545EE"/>
    <w:rsid w:val="12BC24AE"/>
    <w:rsid w:val="12F2345B"/>
    <w:rsid w:val="13E65C98"/>
    <w:rsid w:val="13FC3DA2"/>
    <w:rsid w:val="148A7BD3"/>
    <w:rsid w:val="150C41BD"/>
    <w:rsid w:val="15101156"/>
    <w:rsid w:val="152A2C32"/>
    <w:rsid w:val="154F1BF0"/>
    <w:rsid w:val="15A86D39"/>
    <w:rsid w:val="15D14C0E"/>
    <w:rsid w:val="162A5A51"/>
    <w:rsid w:val="1644025A"/>
    <w:rsid w:val="167E1C67"/>
    <w:rsid w:val="16BF06D2"/>
    <w:rsid w:val="17EC06BE"/>
    <w:rsid w:val="17F85E39"/>
    <w:rsid w:val="181071DA"/>
    <w:rsid w:val="181D3702"/>
    <w:rsid w:val="18C21C04"/>
    <w:rsid w:val="18E60774"/>
    <w:rsid w:val="193B2763"/>
    <w:rsid w:val="19D46C8A"/>
    <w:rsid w:val="1A1F4D3A"/>
    <w:rsid w:val="1A7762D9"/>
    <w:rsid w:val="1CB048A3"/>
    <w:rsid w:val="1CCB103A"/>
    <w:rsid w:val="1D2F1C3B"/>
    <w:rsid w:val="1D5F004E"/>
    <w:rsid w:val="1EE557B2"/>
    <w:rsid w:val="1FCE279C"/>
    <w:rsid w:val="203C66B1"/>
    <w:rsid w:val="21792511"/>
    <w:rsid w:val="21CB5FDB"/>
    <w:rsid w:val="22437405"/>
    <w:rsid w:val="224D36DF"/>
    <w:rsid w:val="225760D0"/>
    <w:rsid w:val="23187827"/>
    <w:rsid w:val="23532DAB"/>
    <w:rsid w:val="23701B1D"/>
    <w:rsid w:val="239A2562"/>
    <w:rsid w:val="23CC091D"/>
    <w:rsid w:val="23DE1F0F"/>
    <w:rsid w:val="24C72787"/>
    <w:rsid w:val="258B35FD"/>
    <w:rsid w:val="26030452"/>
    <w:rsid w:val="262E2112"/>
    <w:rsid w:val="267F4C59"/>
    <w:rsid w:val="2690694E"/>
    <w:rsid w:val="26CB27B5"/>
    <w:rsid w:val="275F1500"/>
    <w:rsid w:val="28066762"/>
    <w:rsid w:val="28F15CCD"/>
    <w:rsid w:val="28F801F1"/>
    <w:rsid w:val="294C7FDA"/>
    <w:rsid w:val="29D05B5F"/>
    <w:rsid w:val="2A200DBA"/>
    <w:rsid w:val="2A44467F"/>
    <w:rsid w:val="2AF84A3A"/>
    <w:rsid w:val="2B15128D"/>
    <w:rsid w:val="2B9B53E9"/>
    <w:rsid w:val="2BAB13A7"/>
    <w:rsid w:val="2BBA7E1C"/>
    <w:rsid w:val="2C035C27"/>
    <w:rsid w:val="2C25089E"/>
    <w:rsid w:val="2C6E16E1"/>
    <w:rsid w:val="2CFF26A9"/>
    <w:rsid w:val="2D960EC3"/>
    <w:rsid w:val="2E012709"/>
    <w:rsid w:val="2E177FAA"/>
    <w:rsid w:val="2F314C34"/>
    <w:rsid w:val="30005CE3"/>
    <w:rsid w:val="303F1134"/>
    <w:rsid w:val="308A2DF5"/>
    <w:rsid w:val="30A30893"/>
    <w:rsid w:val="30CD01D9"/>
    <w:rsid w:val="31847309"/>
    <w:rsid w:val="32645019"/>
    <w:rsid w:val="338A4697"/>
    <w:rsid w:val="33BD08F7"/>
    <w:rsid w:val="33DC5117"/>
    <w:rsid w:val="343D66DD"/>
    <w:rsid w:val="34B963A8"/>
    <w:rsid w:val="35867B0D"/>
    <w:rsid w:val="365F6463"/>
    <w:rsid w:val="367219E1"/>
    <w:rsid w:val="36750368"/>
    <w:rsid w:val="36917B74"/>
    <w:rsid w:val="382D2D4A"/>
    <w:rsid w:val="390F2E62"/>
    <w:rsid w:val="392673DE"/>
    <w:rsid w:val="39390455"/>
    <w:rsid w:val="393D6B70"/>
    <w:rsid w:val="3955779B"/>
    <w:rsid w:val="39610CB2"/>
    <w:rsid w:val="3A460C84"/>
    <w:rsid w:val="3A7B4A28"/>
    <w:rsid w:val="3A934C55"/>
    <w:rsid w:val="3A9F4707"/>
    <w:rsid w:val="3B043B70"/>
    <w:rsid w:val="3C0C5DCE"/>
    <w:rsid w:val="3C1F5285"/>
    <w:rsid w:val="3C945490"/>
    <w:rsid w:val="3CBB79CB"/>
    <w:rsid w:val="3D167E23"/>
    <w:rsid w:val="3E3D4345"/>
    <w:rsid w:val="3E6B05F4"/>
    <w:rsid w:val="3F195861"/>
    <w:rsid w:val="3F586081"/>
    <w:rsid w:val="3F61166F"/>
    <w:rsid w:val="41486733"/>
    <w:rsid w:val="41792F90"/>
    <w:rsid w:val="427E60E8"/>
    <w:rsid w:val="42961331"/>
    <w:rsid w:val="42CB04D6"/>
    <w:rsid w:val="42D028BF"/>
    <w:rsid w:val="43192362"/>
    <w:rsid w:val="43421087"/>
    <w:rsid w:val="4413383F"/>
    <w:rsid w:val="443A0736"/>
    <w:rsid w:val="445A604F"/>
    <w:rsid w:val="446B5FEC"/>
    <w:rsid w:val="447A35CE"/>
    <w:rsid w:val="44A745C7"/>
    <w:rsid w:val="44AA2374"/>
    <w:rsid w:val="457A2F29"/>
    <w:rsid w:val="46152211"/>
    <w:rsid w:val="462A7954"/>
    <w:rsid w:val="466173B0"/>
    <w:rsid w:val="46624D38"/>
    <w:rsid w:val="46721E38"/>
    <w:rsid w:val="46EE4B79"/>
    <w:rsid w:val="470E4C59"/>
    <w:rsid w:val="477A55E5"/>
    <w:rsid w:val="47ED337C"/>
    <w:rsid w:val="48076A96"/>
    <w:rsid w:val="488F2765"/>
    <w:rsid w:val="48F070DD"/>
    <w:rsid w:val="491C64D2"/>
    <w:rsid w:val="4923332F"/>
    <w:rsid w:val="494A0096"/>
    <w:rsid w:val="49591570"/>
    <w:rsid w:val="49B1181A"/>
    <w:rsid w:val="4AA92C80"/>
    <w:rsid w:val="4AC313DF"/>
    <w:rsid w:val="4AEB32CA"/>
    <w:rsid w:val="4B805EB3"/>
    <w:rsid w:val="4B886692"/>
    <w:rsid w:val="4C651075"/>
    <w:rsid w:val="4C9B4F9A"/>
    <w:rsid w:val="4CA55F7D"/>
    <w:rsid w:val="4EE31C09"/>
    <w:rsid w:val="4F4B3D85"/>
    <w:rsid w:val="500071E6"/>
    <w:rsid w:val="50086D20"/>
    <w:rsid w:val="503C2B0D"/>
    <w:rsid w:val="521F14E7"/>
    <w:rsid w:val="523A3FF2"/>
    <w:rsid w:val="538032B8"/>
    <w:rsid w:val="540E691C"/>
    <w:rsid w:val="545D2521"/>
    <w:rsid w:val="551D7105"/>
    <w:rsid w:val="551E0A82"/>
    <w:rsid w:val="552C7E16"/>
    <w:rsid w:val="55861908"/>
    <w:rsid w:val="56C002C2"/>
    <w:rsid w:val="56E34F3D"/>
    <w:rsid w:val="573A654F"/>
    <w:rsid w:val="575869E0"/>
    <w:rsid w:val="581742A4"/>
    <w:rsid w:val="58DC7267"/>
    <w:rsid w:val="59CE6881"/>
    <w:rsid w:val="5A863E45"/>
    <w:rsid w:val="5AEF594E"/>
    <w:rsid w:val="5B1B1D3C"/>
    <w:rsid w:val="5BC949EC"/>
    <w:rsid w:val="5BE5628D"/>
    <w:rsid w:val="5BF879AF"/>
    <w:rsid w:val="5C0C1797"/>
    <w:rsid w:val="5C557D8C"/>
    <w:rsid w:val="5C574FFB"/>
    <w:rsid w:val="5C75455C"/>
    <w:rsid w:val="5C8344A1"/>
    <w:rsid w:val="5CC30518"/>
    <w:rsid w:val="5CCC7A2A"/>
    <w:rsid w:val="5D7768A3"/>
    <w:rsid w:val="5D807BD2"/>
    <w:rsid w:val="5DE01F09"/>
    <w:rsid w:val="5DEF31C2"/>
    <w:rsid w:val="5E7C2B9F"/>
    <w:rsid w:val="5EB97A2D"/>
    <w:rsid w:val="5EEC0DA0"/>
    <w:rsid w:val="5F0B492C"/>
    <w:rsid w:val="5F561B6F"/>
    <w:rsid w:val="5F57E5CA"/>
    <w:rsid w:val="5F91484C"/>
    <w:rsid w:val="5FC0441D"/>
    <w:rsid w:val="5FE42CD6"/>
    <w:rsid w:val="6008080B"/>
    <w:rsid w:val="603E226F"/>
    <w:rsid w:val="60722A9E"/>
    <w:rsid w:val="609064BC"/>
    <w:rsid w:val="60B844EB"/>
    <w:rsid w:val="611A7F96"/>
    <w:rsid w:val="62377DE6"/>
    <w:rsid w:val="62383EC8"/>
    <w:rsid w:val="62417B60"/>
    <w:rsid w:val="62602F72"/>
    <w:rsid w:val="629B2349"/>
    <w:rsid w:val="63436EDD"/>
    <w:rsid w:val="63DC37B9"/>
    <w:rsid w:val="64304B27"/>
    <w:rsid w:val="66444937"/>
    <w:rsid w:val="669C35D3"/>
    <w:rsid w:val="669F1055"/>
    <w:rsid w:val="66BD33A8"/>
    <w:rsid w:val="66C77DE7"/>
    <w:rsid w:val="67810865"/>
    <w:rsid w:val="67B56ABF"/>
    <w:rsid w:val="67CD0F46"/>
    <w:rsid w:val="68CE279E"/>
    <w:rsid w:val="690023C7"/>
    <w:rsid w:val="69457DCF"/>
    <w:rsid w:val="694823E4"/>
    <w:rsid w:val="6A141054"/>
    <w:rsid w:val="6AE33DD2"/>
    <w:rsid w:val="6B4A74D8"/>
    <w:rsid w:val="6BA01E5C"/>
    <w:rsid w:val="6BE01C30"/>
    <w:rsid w:val="6CC7793D"/>
    <w:rsid w:val="6D621025"/>
    <w:rsid w:val="6D88253E"/>
    <w:rsid w:val="6DA2466F"/>
    <w:rsid w:val="6DAA68F2"/>
    <w:rsid w:val="6DE7377E"/>
    <w:rsid w:val="6DFD77D1"/>
    <w:rsid w:val="6E467653"/>
    <w:rsid w:val="6EC61B4C"/>
    <w:rsid w:val="6FB06F42"/>
    <w:rsid w:val="6FC37AD4"/>
    <w:rsid w:val="6FE87B6F"/>
    <w:rsid w:val="720A5D89"/>
    <w:rsid w:val="73363048"/>
    <w:rsid w:val="73634787"/>
    <w:rsid w:val="738607CE"/>
    <w:rsid w:val="73FF5DD0"/>
    <w:rsid w:val="746740C1"/>
    <w:rsid w:val="7475725D"/>
    <w:rsid w:val="74943B51"/>
    <w:rsid w:val="759B4875"/>
    <w:rsid w:val="75AD7471"/>
    <w:rsid w:val="767C5777"/>
    <w:rsid w:val="770B31ED"/>
    <w:rsid w:val="78823FC3"/>
    <w:rsid w:val="78AD1F79"/>
    <w:rsid w:val="78B50653"/>
    <w:rsid w:val="79325856"/>
    <w:rsid w:val="79607F20"/>
    <w:rsid w:val="79D57C9C"/>
    <w:rsid w:val="7A1B65C4"/>
    <w:rsid w:val="7AB227BF"/>
    <w:rsid w:val="7B025FF0"/>
    <w:rsid w:val="7B4753B2"/>
    <w:rsid w:val="7B9F701A"/>
    <w:rsid w:val="7C2C0D2B"/>
    <w:rsid w:val="7C58771B"/>
    <w:rsid w:val="7D026197"/>
    <w:rsid w:val="7D9E5899"/>
    <w:rsid w:val="7DE2525B"/>
    <w:rsid w:val="7DFF3A1B"/>
    <w:rsid w:val="7E8941D0"/>
    <w:rsid w:val="7EA237D5"/>
    <w:rsid w:val="7EAA08AA"/>
    <w:rsid w:val="7EAA31DA"/>
    <w:rsid w:val="7EED58E3"/>
    <w:rsid w:val="7F0D32F4"/>
    <w:rsid w:val="7F6969A4"/>
    <w:rsid w:val="7FCE9F2A"/>
    <w:rsid w:val="7FED736C"/>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16</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2025-03-18T08:25:28Z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